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for LegalTech UK | ClickMasters
META DESC: SaaS Development for UK LegalTech. SRA compliance. £45,000–£180,000.
SLUG: /legaltech-saas-development/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LegalTech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LegalTech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for LegalTech</w:t>
      </w:r>
    </w:p>
    <w:p>
      <w:pPr>
        <w:spacing w:after="60" w:before="60"/>
      </w:pPr>
    </w:p>
    <w:p>
      <w:pPr>
        <w:pStyle w:val="Heading1"/>
        <w:spacing w:after="160" w:before="360"/>
      </w:pPr>
      <w:r>
        <w:rPr>
          <w:rFonts w:ascii="Arial" w:cs="Arial" w:eastAsia="Arial" w:hAnsi="Arial"/>
          <w:b/>
          <w:bCs/>
          <w:color w:val="0B1F3A"/>
          <w:sz w:val="40"/>
          <w:szCs w:val="40"/>
        </w:rPr>
        <w:t xml:space="preserve">SaaS Development for UK LegalTech Companies — SRA compliance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LegalTech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SRA compliance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£45,000–£180,000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for UK LegalTech businesses with SRA compliance,  Legal Professional Privilege compliance built in from the architecture phase.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SaaS Development for LegalTech Means in the UK</w:t>
            </w:r>
          </w:p>
        </w:tc>
      </w:tr>
    </w:tbl>
    <w:p>
      <w:pPr>
        <w:spacing w:after="60" w:before="60"/>
      </w:pPr>
    </w:p>
    <w:p>
      <w:pPr>
        <w:spacing w:after="160" w:before="100"/>
      </w:pPr>
      <w:r>
        <w:rPr>
          <w:rFonts w:ascii="Arial" w:cs="Arial" w:eastAsia="Arial" w:hAnsi="Arial"/>
          <w:b/>
          <w:bCs/>
          <w:i w:val="false"/>
          <w:iCs w:val="false"/>
          <w:color w:val="E8612A"/>
          <w:sz w:val="22"/>
          <w:szCs w:val="22"/>
        </w:rPr>
        <w:t xml:space="preserve">LPP-Aware Multi-Tenant Architecture: </w:t>
      </w:r>
      <w:r>
        <w:rPr>
          <w:rFonts w:ascii="Arial" w:cs="Arial" w:eastAsia="Arial" w:hAnsi="Arial"/>
          <w:b w:val="false"/>
          <w:bCs w:val="false"/>
          <w:i w:val="false"/>
          <w:iCs w:val="false"/>
          <w:color w:val="1A2332"/>
          <w:sz w:val="22"/>
          <w:szCs w:val="22"/>
        </w:rPr>
        <w:t xml:space="preserve">Legal SaaS serving multiple law firms must implement Legal Professional Privilege awareness at the platform level — privilege status must be tracked at document and communication level, SAR responses must screen for LPP before disclosure, and cross-tenant LPP leakage must be architecturally impossible (not just application-enforced).</w:t>
      </w:r>
    </w:p>
    <w:p>
      <w:pPr>
        <w:spacing w:after="60" w:before="60"/>
      </w:pPr>
    </w:p>
    <w:p>
      <w:pPr>
        <w:spacing w:after="160" w:before="100"/>
      </w:pPr>
      <w:r>
        <w:rPr>
          <w:rFonts w:ascii="Arial" w:cs="Arial" w:eastAsia="Arial" w:hAnsi="Arial"/>
          <w:b/>
          <w:bCs/>
          <w:i w:val="false"/>
          <w:iCs w:val="false"/>
          <w:color w:val="E8612A"/>
          <w:sz w:val="22"/>
          <w:szCs w:val="22"/>
        </w:rPr>
        <w:t xml:space="preserve">AML Compliance as SaaS Service Feature: </w:t>
      </w:r>
      <w:r>
        <w:rPr>
          <w:rFonts w:ascii="Arial" w:cs="Arial" w:eastAsia="Arial" w:hAnsi="Arial"/>
          <w:b w:val="false"/>
          <w:bCs w:val="false"/>
          <w:i w:val="false"/>
          <w:iCs w:val="false"/>
          <w:color w:val="1A2332"/>
          <w:sz w:val="22"/>
          <w:szCs w:val="22"/>
        </w:rPr>
        <w:t xml:space="preserve">Law firm SaaS must support AML obligations as a first-class feature: CDD workflow for new clients, EDD triggers for high-risk matters, MLRO escalation capability, sanctions screening integration, and 5-year AML record retention. These features must be per-tenant (each law firm has their own MLRO and compliance workflow).</w:t>
      </w:r>
    </w:p>
    <w:p>
      <w:pPr>
        <w:spacing w:after="60" w:before="60"/>
      </w:pPr>
    </w:p>
    <w:p>
      <w:pPr>
        <w:spacing w:after="160" w:before="100"/>
      </w:pPr>
      <w:r>
        <w:rPr>
          <w:rFonts w:ascii="Arial" w:cs="Arial" w:eastAsia="Arial" w:hAnsi="Arial"/>
          <w:b/>
          <w:bCs/>
          <w:i w:val="false"/>
          <w:iCs w:val="false"/>
          <w:color w:val="E8612A"/>
          <w:sz w:val="22"/>
          <w:szCs w:val="22"/>
        </w:rPr>
        <w:t xml:space="preserve">UK GDPR for Legal Client Data: </w:t>
      </w:r>
      <w:r>
        <w:rPr>
          <w:rFonts w:ascii="Arial" w:cs="Arial" w:eastAsia="Arial" w:hAnsi="Arial"/>
          <w:b w:val="false"/>
          <w:bCs w:val="false"/>
          <w:i w:val="false"/>
          <w:iCs w:val="false"/>
          <w:color w:val="1A2332"/>
          <w:sz w:val="22"/>
          <w:szCs w:val="22"/>
        </w:rPr>
        <w:t xml:space="preserve">Legal SaaS processes highly sensitive data — legal advice, financial information, and personal details of parties to matters. UK GDPR requires: legitimate interest assessment for processing client data, special consideration for data subject access requests (LPP screening), and careful retention policies balancing GDPR minimisation against SRA regulatory retention requirements (6–15 years for different matter types).</w:t>
      </w:r>
    </w:p>
    <w:p>
      <w:pPr>
        <w:spacing w:after="60" w:before="60"/>
      </w:pPr>
    </w:p>
    <w:p>
      <w:pPr>
        <w:spacing w:after="160" w:before="100"/>
      </w:pPr>
      <w:r>
        <w:rPr>
          <w:rFonts w:ascii="Arial" w:cs="Arial" w:eastAsia="Arial" w:hAnsi="Arial"/>
          <w:b/>
          <w:bCs/>
          <w:i w:val="false"/>
          <w:iCs w:val="false"/>
          <w:color w:val="E8612A"/>
          <w:sz w:val="22"/>
          <w:szCs w:val="22"/>
        </w:rPr>
        <w:t xml:space="preserve">Time Recording and Billing Integration: </w:t>
      </w:r>
      <w:r>
        <w:rPr>
          <w:rFonts w:ascii="Arial" w:cs="Arial" w:eastAsia="Arial" w:hAnsi="Arial"/>
          <w:b w:val="false"/>
          <w:bCs w:val="false"/>
          <w:i w:val="false"/>
          <w:iCs w:val="false"/>
          <w:color w:val="1A2332"/>
          <w:sz w:val="22"/>
          <w:szCs w:val="22"/>
        </w:rPr>
        <w:t xml:space="preserve">Legal SaaS typically integrates with time recording and billing: Elite, Aderant, or custom billing systems. VAT implications for legal services are complex (exempt, standard-rated, and zero-rated services). Stripe billing for SaaS subscriptions must handle UK VAT correctly for law firm clients.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LegalTech compliance: SRA compliance, Legal Professional Privilege, AML (MLRs 2017), UK GDPR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Project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LegalTech 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£45,000–£180,000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SRA compliance requirements apply to legal SaaS?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SRA Code of Conduct applies to regulated law firms — the SaaS platform must support their compliance obligations: conflict check capability, client due diligence evidence, matter records retention, and client money segregation (if applicable). The SRA does not regulate technology providers directly, but regulated firms must be confident that their technology enables their own SRA compliance.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you implement privilege awareness in a legal SaaS platform?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Privilege awareness at the document level: a metadata flag on each document/communication indicating privilege status, access control enforcement based on privilege flag (only authorised users can access privileged items), SAR response workflow that screens privilege before generating disclosure packs, and audit logging of all access to privileged materials for litigation support.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LegalTech Software Development UK: /legaltech-software-development/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UK: /saas-development/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LegalTech SaaS Development</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LegalTech Team</w:t>
            </w:r>
          </w:p>
          <w:p>
            <w:pPr>
              <w:spacing w:after="80" w:before="0"/>
            </w:pPr>
            <w:r>
              <w:rPr>
                <w:rFonts w:ascii="Arial" w:cs="Arial" w:eastAsia="Arial" w:hAnsi="Arial"/>
                <w:b/>
                <w:bCs/>
                <w:color w:val="E8612A"/>
                <w:sz w:val="20"/>
                <w:szCs w:val="20"/>
              </w:rPr>
              <w:t xml:space="preserve">LegalTech specialists</w:t>
            </w:r>
          </w:p>
          <w:p>
            <w:pPr>
              <w:spacing w:after="0" w:before="0"/>
            </w:pPr>
            <w:r>
              <w:rPr>
                <w:rFonts w:ascii="Arial" w:cs="Arial" w:eastAsia="Arial" w:hAnsi="Arial"/>
                <w:color w:val="1A2332"/>
                <w:sz w:val="20"/>
                <w:szCs w:val="20"/>
              </w:rPr>
              <w:t xml:space="preserve">ClickMasters delivers SaaS Development for UK LegalTech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"legaltech saas development uk" (150/mo)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2026-05-23T06:31:41.163Z</dcterms:created>
  <dcterms:modified xsi:type="dcterms:W3CDTF">2026-05-23T06:31:41.163Z</dcterms:modified>
</cp:coreProperties>
</file>

<file path=docProps/custom.xml><?xml version="1.0" encoding="utf-8"?>
<Properties xmlns="http://schemas.openxmlformats.org/officeDocument/2006/custom-properties" xmlns:vt="http://schemas.openxmlformats.org/officeDocument/2006/docPropsVTypes"/>
</file>