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PropTech Software Development London | ClickMasters
META DESC: PropTech software development in London. MLRs 2017 (AML). £25,000–£150,000+. UK-based team, FCA-aware architecture. Free consultation.
SLUG: /proptech-software-development-london/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London PropTech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PropTech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PropTech Software Development London</w:t>
      </w:r>
    </w:p>
    <w:p>
      <w:pPr>
        <w:spacing w:after="60" w:before="60"/>
      </w:pPr>
    </w:p>
    <w:p>
      <w:pPr>
        <w:pStyle w:val="Heading1"/>
        <w:spacing w:after="160" w:before="360"/>
      </w:pPr>
      <w:r>
        <w:rPr>
          <w:rFonts w:ascii="Arial" w:cs="Arial" w:eastAsia="Arial" w:hAnsi="Arial"/>
          <w:b/>
          <w:bCs/>
          <w:color w:val="0B1F3A"/>
          <w:sz w:val="40"/>
          <w:szCs w:val="40"/>
        </w:rPr>
        <w:t xml:space="preserve">PropTech Software Development London — MLRs 2017 (AML),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PropTech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PropTech software development in London and the wider UK with MLRs 2017 (AML),  UK GDPR compliance built into every project from the architecture phase. London PropTech clients benefit from our Silicon Roundabout proximity, FCA/NHS/GDS regulatory expertise, and transparent GBP pricing from £25,000.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London PropTech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London is the UK's largest and most sophisticated property market — home to Knight Frank, Savills, Countrywide, Foxtons, Rightmove (FTSE 250), Zoopla, and a thriving PropTech startup ecosystem. The London PropTech cluster spans Canary Wharf (commercial property tech), Shoreditch (residential PropTech startups), and the traditional estate agency heartland of Kensington and Chelsea. AML obligations, Land Registry data, and RICS professional standards are all central to London PropTech.</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AML for London estate agents: MLRs 2017, CDD/EDD, MLRO dashboard, HMRC supervision compliance.</w:t>
      </w:r>
    </w:p>
    <w:p>
      <w:pPr>
        <w:pStyle w:val="ListParagraph"/>
        <w:numPr>
          <w:ilvl w:val="0"/>
          <w:numId w:val="2"/>
        </w:numPr>
        <w:spacing w:after="60" w:before="60"/>
      </w:pPr>
      <w:r>
        <w:rPr>
          <w:rFonts w:ascii="Arial" w:cs="Arial" w:eastAsia="Arial" w:hAnsi="Arial"/>
          <w:b w:val="false"/>
          <w:bCs w:val="false"/>
          <w:color w:val="1A2332"/>
          <w:sz w:val="22"/>
          <w:szCs w:val="22"/>
        </w:rPr>
        <w:t xml:space="preserve">Land Registry API: HMLR Search for Land and Property, Official Copy, Price Paid Dataset.</w:t>
      </w:r>
    </w:p>
    <w:p>
      <w:pPr>
        <w:pStyle w:val="ListParagraph"/>
        <w:numPr>
          <w:ilvl w:val="0"/>
          <w:numId w:val="2"/>
        </w:numPr>
        <w:spacing w:after="60" w:before="60"/>
      </w:pPr>
      <w:r>
        <w:rPr>
          <w:rFonts w:ascii="Arial" w:cs="Arial" w:eastAsia="Arial" w:hAnsi="Arial"/>
          <w:b w:val="false"/>
          <w:bCs w:val="false"/>
          <w:color w:val="1A2332"/>
          <w:sz w:val="22"/>
          <w:szCs w:val="22"/>
        </w:rPr>
        <w:t xml:space="preserve">Rental payment automation: GoCardless direct debit mandates, variable rent, failure handling.</w:t>
      </w:r>
    </w:p>
    <w:p>
      <w:pPr>
        <w:pStyle w:val="ListParagraph"/>
        <w:numPr>
          <w:ilvl w:val="0"/>
          <w:numId w:val="2"/>
        </w:numPr>
        <w:spacing w:after="60" w:before="60"/>
      </w:pPr>
      <w:r>
        <w:rPr>
          <w:rFonts w:ascii="Arial" w:cs="Arial" w:eastAsia="Arial" w:hAnsi="Arial"/>
          <w:b w:val="false"/>
          <w:bCs w:val="false"/>
          <w:color w:val="1A2332"/>
          <w:sz w:val="22"/>
          <w:szCs w:val="22"/>
        </w:rPr>
        <w:t xml:space="preserve">RICS-aware valuation: AVM methodology disclosure, confidence intervals, Red Book distinction.</w:t>
      </w:r>
    </w:p>
    <w:p>
      <w:pPr>
        <w:pStyle w:val="ListParagraph"/>
        <w:numPr>
          <w:ilvl w:val="0"/>
          <w:numId w:val="2"/>
        </w:numPr>
        <w:spacing w:after="60" w:before="60"/>
      </w:pPr>
      <w:r>
        <w:rPr>
          <w:rFonts w:ascii="Arial" w:cs="Arial" w:eastAsia="Arial" w:hAnsi="Arial"/>
          <w:b w:val="false"/>
          <w:bCs w:val="false"/>
          <w:color w:val="1A2332"/>
          <w:sz w:val="22"/>
          <w:szCs w:val="22"/>
        </w:rPr>
        <w:t xml:space="preserve">Rightmove/Zoopla data feeds: commercial agreements, rate limit management, data licence compliance.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PropTech Software Development London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Specification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PropTech Platform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MLRs 2017 (AML)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MLRs 2017 (AML), UK GDPR, Land Registry API, RICS, GoCardless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eligible for up to 27% HMRC relief. ClickMasters documents qualifying activities as standard.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London estate agents comply with AML requirements?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London estate agents are HMRC-supervised for AML under the Money Laundering Regulations 2017. Key requirements: CDD for buyers and sellers in transactions above £10,000, EDD for high-value or high-risk transactions, MLRO appointment, suspicious activity reporting to NCA. PropTech platforms used by London estate agents must support these obligations.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Land Registry data is available for London property technology?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HMLR provides several London-relevant data sources: Price Paid Data (all property transactions — useful for AVM development), UK House Price Index, Registered Leases dataset, INSPIRE Index Polygons (property boundaries), and API access to individual title registers. Commercial property data (CCOD/OCOD) is also available.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PropTech Software Development UK: /proptech-software-development/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AML Compliance Software UK: /aml-compliance-software-uk/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PropTech Software Consultation — London</w:t>
            </w:r>
          </w:p>
          <w:p>
            <w:pPr>
              <w:spacing w:after="160" w:before="0"/>
            </w:pPr>
            <w:r>
              <w:rPr>
                <w:rFonts w:ascii="Arial" w:cs="Arial" w:eastAsia="Arial" w:hAnsi="Arial"/>
                <w:color w:val="BDD0E8"/>
                <w:sz w:val="22"/>
                <w:szCs w:val="22"/>
              </w:rPr>
              <w:t xml:space="preserve">45 minutes with a senior PropTech engineer. Scope, pricing, compliance roadmap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PropTech Team</w:t>
            </w:r>
          </w:p>
          <w:p>
            <w:pPr>
              <w:spacing w:after="80" w:before="0"/>
            </w:pPr>
            <w:r>
              <w:rPr>
                <w:rFonts w:ascii="Arial" w:cs="Arial" w:eastAsia="Arial" w:hAnsi="Arial"/>
                <w:b/>
                <w:bCs/>
                <w:color w:val="E8612A"/>
                <w:sz w:val="20"/>
                <w:szCs w:val="20"/>
              </w:rPr>
              <w:t xml:space="preserve">PropTech software specialists — MLRs 2017 (AML),  UK GDPR</w:t>
            </w:r>
          </w:p>
          <w:p>
            <w:pPr>
              <w:spacing w:after="0" w:before="0"/>
            </w:pPr>
            <w:r>
              <w:rPr>
                <w:rFonts w:ascii="Arial" w:cs="Arial" w:eastAsia="Arial" w:hAnsi="Arial"/>
                <w:color w:val="1A2332"/>
                <w:sz w:val="20"/>
                <w:szCs w:val="20"/>
              </w:rPr>
              <w:t xml:space="preserve">ClickMasters has delivered PropTech software for London and UK businesses with full compliance architecture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"proptech software development london" (~300/mo)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2026-05-23T06:51:32.177Z</dcterms:created>
  <dcterms:modified xsi:type="dcterms:W3CDTF">2026-05-23T06:51:32.177Z</dcterms:modified>
</cp:coreProperties>
</file>

<file path=docProps/custom.xml><?xml version="1.0" encoding="utf-8"?>
<Properties xmlns="http://schemas.openxmlformats.org/officeDocument/2006/custom-properties" xmlns:vt="http://schemas.openxmlformats.org/officeDocument/2006/docPropsVTypes"/>
</file>