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Event Sourcing? UK Definition | ClickMasters
META DESC: Event Sourcing explained. Event sourcing is an architectural pattern where the system's state is determined by a sequence of events rath...
SLUG: /glossary/event-sourcing-definition/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Event Sourcing?</w:t>
      </w:r>
    </w:p>
    <w:p>
      <w:pPr>
        <w:spacing w:after="60" w:before="60"/>
      </w:pPr>
    </w:p>
    <w:p>
      <w:pPr>
        <w:pStyle w:val="Heading1"/>
        <w:spacing w:after="160" w:before="360"/>
      </w:pPr>
      <w:r>
        <w:rPr>
          <w:rFonts w:ascii="Arial" w:cs="Arial" w:eastAsia="Arial" w:hAnsi="Arial"/>
          <w:b/>
          <w:bCs/>
          <w:color w:val="0B1F3A"/>
          <w:sz w:val="40"/>
          <w:szCs w:val="40"/>
        </w:rPr>
        <w:t xml:space="preserve">What is Event Sourcing?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Event sourcing is an architectural pattern where the system's state is determined by a sequence of events rather than storing only the current state. Instead of updating records in place, every state change is stored as an immutable event (e.g., "AccountOpened," "MoneyDeposited," "MoneyWithdrawn"). The current state is derived by replaying all events. Event sourcing enables: complete audit trail, temporal queries (state at any point in time), and event-driven integration.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Event Sourcing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Event sourcing is particularly valuable for UK regulated software. FCA regulated systems: financial event sourcing provides an immutable audit trail of every account action — exactly what FCA requires for financial record-keeping. UK GDPR and event sourcing create a significant tension: events are immutable (by design), but UK GDPR right to erasure requires the ability to delete personal data. Solutions: event compaction (replacing personal data with anonymised placeholders on erasure request), or using event sourcing only for business events (not personal data) with a separate GDPR-compliant personal data store.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CQRS: </w:t>
      </w:r>
      <w:r>
        <w:rPr>
          <w:rFonts w:ascii="Arial" w:cs="Arial" w:eastAsia="Arial" w:hAnsi="Arial"/>
          <w:b w:val="false"/>
          <w:bCs w:val="false"/>
          <w:i w:val="false"/>
          <w:iCs w:val="false"/>
          <w:color w:val="1A2332"/>
          <w:sz w:val="22"/>
          <w:szCs w:val="22"/>
        </w:rPr>
        <w:t xml:space="preserve">Command Query Responsibility Segregation — commonly paired with event sourcing.</w:t>
      </w:r>
    </w:p>
    <w:p>
      <w:pPr>
        <w:spacing w:after="160" w:before="100"/>
      </w:pPr>
      <w:r>
        <w:rPr>
          <w:rFonts w:ascii="Arial" w:cs="Arial" w:eastAsia="Arial" w:hAnsi="Arial"/>
          <w:b/>
          <w:bCs/>
          <w:i w:val="false"/>
          <w:iCs w:val="false"/>
          <w:color w:val="0B1F3A"/>
          <w:sz w:val="22"/>
          <w:szCs w:val="22"/>
        </w:rPr>
        <w:t xml:space="preserve">Event-Driven Architecture: </w:t>
      </w:r>
      <w:r>
        <w:rPr>
          <w:rFonts w:ascii="Arial" w:cs="Arial" w:eastAsia="Arial" w:hAnsi="Arial"/>
          <w:b w:val="false"/>
          <w:bCs w:val="false"/>
          <w:i w:val="false"/>
          <w:iCs w:val="false"/>
          <w:color w:val="1A2332"/>
          <w:sz w:val="22"/>
          <w:szCs w:val="22"/>
        </w:rPr>
        <w:t xml:space="preserve">The broader pattern of which event sourcing is one implementation.</w:t>
      </w:r>
    </w:p>
    <w:p>
      <w:pPr>
        <w:spacing w:after="160" w:before="100"/>
      </w:pPr>
      <w:r>
        <w:rPr>
          <w:rFonts w:ascii="Arial" w:cs="Arial" w:eastAsia="Arial" w:hAnsi="Arial"/>
          <w:b/>
          <w:bCs/>
          <w:i w:val="false"/>
          <w:iCs w:val="false"/>
          <w:color w:val="0B1F3A"/>
          <w:sz w:val="22"/>
          <w:szCs w:val="22"/>
        </w:rPr>
        <w:t xml:space="preserve">Audit Trail: </w:t>
      </w:r>
      <w:r>
        <w:rPr>
          <w:rFonts w:ascii="Arial" w:cs="Arial" w:eastAsia="Arial" w:hAnsi="Arial"/>
          <w:b w:val="false"/>
          <w:bCs w:val="false"/>
          <w:i w:val="false"/>
          <w:iCs w:val="false"/>
          <w:color w:val="1A2332"/>
          <w:sz w:val="22"/>
          <w:szCs w:val="22"/>
        </w:rPr>
        <w:t xml:space="preserve">One of the key benefits of event sourcing.</w:t>
      </w:r>
    </w:p>
    <w:p>
      <w:pPr>
        <w:spacing w:after="160" w:before="100"/>
      </w:pPr>
      <w:r>
        <w:rPr>
          <w:rFonts w:ascii="Arial" w:cs="Arial" w:eastAsia="Arial" w:hAnsi="Arial"/>
          <w:b/>
          <w:bCs/>
          <w:i w:val="false"/>
          <w:iCs w:val="false"/>
          <w:color w:val="0B1F3A"/>
          <w:sz w:val="22"/>
          <w:szCs w:val="22"/>
        </w:rPr>
        <w:t xml:space="preserve">UK GDPR Right to Erasure: </w:t>
      </w:r>
      <w:r>
        <w:rPr>
          <w:rFonts w:ascii="Arial" w:cs="Arial" w:eastAsia="Arial" w:hAnsi="Arial"/>
          <w:b w:val="false"/>
          <w:bCs w:val="false"/>
          <w:i w:val="false"/>
          <w:iCs w:val="false"/>
          <w:color w:val="1A2332"/>
          <w:sz w:val="22"/>
          <w:szCs w:val="22"/>
        </w:rPr>
        <w:t xml:space="preserve">Creates tension with event sourcing immutability.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FinTech Software Development UK: /fintech-software-development/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Microservices Architecture UK: /microservices-architecture/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Event Sourcing</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event sourcing software"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2026-05-23T06:51:33.127Z</dcterms:created>
  <dcterms:modified xsi:type="dcterms:W3CDTF">2026-05-23T06:51:33.127Z</dcterms:modified>
</cp:coreProperties>
</file>

<file path=docProps/custom.xml><?xml version="1.0" encoding="utf-8"?>
<Properties xmlns="http://schemas.openxmlformats.org/officeDocument/2006/custom-properties" xmlns:vt="http://schemas.openxmlformats.org/officeDocument/2006/docPropsVTypes"/>
</file>