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Software Development Bristol | ClickMasters
META DESC: FinTech software development in Bristol. FCA. £35,000–£200,000+. UK-based team. Free consultation.
SLUG: /fintech-software-development-bristol/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Bristol FinTech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FinTech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Software Development Bristol</w:t>
      </w:r>
    </w:p>
    <w:p>
      <w:pPr>
        <w:spacing w:after="60" w:before="60"/>
      </w:pPr>
    </w:p>
    <w:p>
      <w:pPr>
        <w:pStyle w:val="Heading1"/>
        <w:spacing w:after="160" w:before="360"/>
      </w:pPr>
      <w:r>
        <w:rPr>
          <w:rFonts w:ascii="Arial" w:cs="Arial" w:eastAsia="Arial" w:hAnsi="Arial"/>
          <w:b/>
          <w:bCs/>
          <w:color w:val="0B1F3A"/>
          <w:sz w:val="40"/>
          <w:szCs w:val="40"/>
        </w:rPr>
        <w:t xml:space="preserve">FinTech Software Development Bristol — FCA, Transparent GBP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Bristol</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FinTech software development in Bristol and South West England with FCA,  Consumer Duty compliance built in from the architecture phase. Bristol FinTech clients benefit from our specialist regulatory expertise and transparent GBP pricing from £35,000.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Bristol FinTech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Bristol — Silicon Gorge — is one of the UK's most established tech clusters, with strength in aerospace and defence technology (Airbus, Rolls-Royce Digital), robotics, advanced engineering software, and a thriving independent digital sector. The city has a disproportionately strong engineering talent pool driven by the University of Bristol and University of the West of England.</w:t>
      </w:r>
    </w:p>
    <w:p>
      <w:pPr>
        <w:spacing w:after="60" w:before="60"/>
      </w:pPr>
    </w:p>
    <w:p>
      <w:pPr>
        <w:spacing w:after="160" w:before="100"/>
      </w:pPr>
      <w:r>
        <w:rPr>
          <w:rFonts w:ascii="Arial" w:cs="Arial" w:eastAsia="Arial" w:hAnsi="Arial"/>
          <w:b w:val="false"/>
          <w:bCs w:val="false"/>
          <w:i w:val="false"/>
          <w:iCs w:val="false"/>
          <w:color w:val="1A2332"/>
          <w:sz w:val="22"/>
          <w:szCs w:val="22"/>
        </w:rPr>
        <w:t xml:space="preserve">Bristol has a growing FinTech sector — Hargreaves Lansdown (FTSE 100 investment platform headquartered in Bristol), Liberis (business finance), and an FCA-regulated lending and payments cluster. The city benefits from proximity to the University of Bristol computer science department and lower operating costs than London.</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Hargreaves Lansdown context: Bristol FinTech talent pool shaped by investment platform engineering requirements.</w:t>
      </w:r>
    </w:p>
    <w:p>
      <w:pPr>
        <w:pStyle w:val="ListParagraph"/>
        <w:numPr>
          <w:ilvl w:val="0"/>
          <w:numId w:val="2"/>
        </w:numPr>
        <w:spacing w:after="60" w:before="60"/>
      </w:pPr>
      <w:r>
        <w:rPr>
          <w:rFonts w:ascii="Arial" w:cs="Arial" w:eastAsia="Arial" w:hAnsi="Arial"/>
          <w:b w:val="false"/>
          <w:bCs w:val="false"/>
          <w:color w:val="1A2332"/>
          <w:sz w:val="22"/>
          <w:szCs w:val="22"/>
        </w:rPr>
        <w:t xml:space="preserve">FCA Consumer Duty UX compliance for Bristol FCA-regulated businesses.</w:t>
      </w:r>
    </w:p>
    <w:p>
      <w:pPr>
        <w:pStyle w:val="ListParagraph"/>
        <w:numPr>
          <w:ilvl w:val="0"/>
          <w:numId w:val="2"/>
        </w:numPr>
        <w:spacing w:after="60" w:before="60"/>
      </w:pPr>
      <w:r>
        <w:rPr>
          <w:rFonts w:ascii="Arial" w:cs="Arial" w:eastAsia="Arial" w:hAnsi="Arial"/>
          <w:b w:val="false"/>
          <w:bCs w:val="false"/>
          <w:color w:val="1A2332"/>
          <w:sz w:val="22"/>
          <w:szCs w:val="22"/>
        </w:rPr>
        <w:t xml:space="preserve">AML/KYC: MLRs 2017 workflows, MLRO escalation, OFSI sanctions screening.</w:t>
      </w:r>
    </w:p>
    <w:p>
      <w:pPr>
        <w:pStyle w:val="ListParagraph"/>
        <w:numPr>
          <w:ilvl w:val="0"/>
          <w:numId w:val="2"/>
        </w:numPr>
        <w:spacing w:after="60" w:before="60"/>
      </w:pPr>
      <w:r>
        <w:rPr>
          <w:rFonts w:ascii="Arial" w:cs="Arial" w:eastAsia="Arial" w:hAnsi="Arial"/>
          <w:b w:val="false"/>
          <w:bCs w:val="false"/>
          <w:color w:val="1A2332"/>
          <w:sz w:val="22"/>
          <w:szCs w:val="22"/>
        </w:rPr>
        <w:t xml:space="preserve">Bristol rates approximately 5–12% below London — good value with strong talent.</w:t>
      </w:r>
    </w:p>
    <w:p>
      <w:pPr>
        <w:pStyle w:val="ListParagraph"/>
        <w:numPr>
          <w:ilvl w:val="0"/>
          <w:numId w:val="2"/>
        </w:numPr>
        <w:spacing w:after="60" w:before="60"/>
      </w:pPr>
      <w:r>
        <w:rPr>
          <w:rFonts w:ascii="Arial" w:cs="Arial" w:eastAsia="Arial" w:hAnsi="Arial"/>
          <w:b w:val="false"/>
          <w:bCs w:val="false"/>
          <w:color w:val="1A2332"/>
          <w:sz w:val="22"/>
          <w:szCs w:val="22"/>
        </w:rPr>
        <w:t xml:space="preserve">Innovate UK Smart Grant support for Bristol FinTech innovation projects.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FinTech Software Development Bristol —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 review</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Specification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FinTech Build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FCA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FCA, Consumer Duty, UK GDPR,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qualifying software projects eligible for up to 27% HMRC relief.</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Bristol FinTech ecosystem like?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Bristol's FinTech ecosystem is more modest than Manchester or Edinburgh but growing — anchored by Hargreaves Lansdown (one of the UK's largest investment platforms) and a cluster of regulated lending and payments businesses. The University of Bristol produces strong computer science graduates, many of whom stay in the city.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ClickMasters visit Bristol clients on-site?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can attend Bristol for discovery workshops, sprint reviews, and key project milestones. Bristol is 1.5 hours from London by train, making on-site visits straightforward.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FinTech Software Development UK: /fintech-software-development/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Bristol: /custom-software-development-bristol/</w:t>
      </w:r>
    </w:p>
    <w:p>
      <w:pPr>
        <w:pStyle w:val="ListParagraph"/>
        <w:numPr>
          <w:ilvl w:val="0"/>
          <w:numId w:val="3"/>
        </w:numPr>
        <w:spacing w:after="60" w:before="60"/>
      </w:pPr>
      <w:r>
        <w:rPr>
          <w:rFonts w:ascii="Arial" w:cs="Arial" w:eastAsia="Arial" w:hAnsi="Arial"/>
          <w:b w:val="false"/>
          <w:bCs w:val="false"/>
          <w:color w:val="1A2332"/>
          <w:sz w:val="22"/>
          <w:szCs w:val="22"/>
        </w:rPr>
        <w:t xml:space="preserve">FCA Software Compliance Guide: /fca-software-compliance-guide/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FinTech Software Consultation — Bristol</w:t>
            </w:r>
          </w:p>
          <w:p>
            <w:pPr>
              <w:spacing w:after="160" w:before="0"/>
            </w:pPr>
            <w:r>
              <w:rPr>
                <w:rFonts w:ascii="Arial" w:cs="Arial" w:eastAsia="Arial" w:hAnsi="Arial"/>
                <w:color w:val="BDD0E8"/>
                <w:sz w:val="22"/>
                <w:szCs w:val="22"/>
              </w:rPr>
              <w:t xml:space="preserve">45 minutes with a senior FinTech engineer. Scope, pricing, compliance roadmap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Bristol FinTech Team</w:t>
            </w:r>
          </w:p>
          <w:p>
            <w:pPr>
              <w:spacing w:after="80" w:before="0"/>
            </w:pPr>
            <w:r>
              <w:rPr>
                <w:rFonts w:ascii="Arial" w:cs="Arial" w:eastAsia="Arial" w:hAnsi="Arial"/>
                <w:b/>
                <w:bCs/>
                <w:color w:val="E8612A"/>
                <w:sz w:val="20"/>
                <w:szCs w:val="20"/>
              </w:rPr>
              <w:t xml:space="preserve">FinTech software specialists — FCA,  Consumer Duty</w:t>
            </w:r>
          </w:p>
          <w:p>
            <w:pPr>
              <w:spacing w:after="0" w:before="0"/>
            </w:pPr>
            <w:r>
              <w:rPr>
                <w:rFonts w:ascii="Arial" w:cs="Arial" w:eastAsia="Arial" w:hAnsi="Arial"/>
                <w:color w:val="1A2332"/>
                <w:sz w:val="20"/>
                <w:szCs w:val="20"/>
              </w:rPr>
              <w:t xml:space="preserve">ClickMasters delivers FinTech software for Bristol and South West England businesses with full compliance architecture.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"fintech software development bristol" (~80/mo)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2026-05-23T10:56:26.735Z</dcterms:created>
  <dcterms:modified xsi:type="dcterms:W3CDTF">2026-05-23T10:56:26.735Z</dcterms:modified>
</cp:coreProperties>
</file>

<file path=docProps/custom.xml><?xml version="1.0" encoding="utf-8"?>
<Properties xmlns="http://schemas.openxmlformats.org/officeDocument/2006/custom-properties" xmlns:vt="http://schemas.openxmlformats.org/officeDocument/2006/docPropsVTypes"/>
</file>