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META TITLE: What is Data Lake? UK Definition | ClickMasters
META DESC: Data Lake explained. A data lake is a centralised repository that stores large volumes of raw data in its native format until neede...
SLUG: /glossary/data-lake-definition/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Last updated: June 2025  |  Reading time: 4 min  |  Written by: ClickMasters Technical Team  |  Reviewed by: James Whitmore, CTO</w:t>
            </w:r>
          </w:p>
        </w:tc>
      </w:tr>
    </w:tbl>
    <w:p>
      <w:pPr>
        <w:spacing w:after="60" w:before="60"/>
      </w:pPr>
    </w:p>
    <w:p>
      <w:pPr>
        <w:spacing w:after="100" w:before="100"/>
      </w:pP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Home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Glossary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/>
          <w:bCs/>
          <w:color w:val="1A2332"/>
          <w:sz w:val="18"/>
          <w:szCs w:val="18"/>
        </w:rPr>
        <w:t xml:space="preserve">What is Data Lake?</w:t>
      </w:r>
    </w:p>
    <w:p>
      <w:pPr>
        <w:spacing w:after="60" w:before="6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B1F3A"/>
          <w:sz w:val="40"/>
          <w:szCs w:val="40"/>
        </w:rPr>
        <w:t xml:space="preserve">What is Data Lake? — UK Software Development Guide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2256"/>
        <w:gridCol w:w="2256"/>
        <w:gridCol w:w="2256"/>
      </w:tblGrid>
      <w:tr>
        <w:tc>
          <w:tcPr>
            <w:tcW w:type="dxa" w:w="225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📚 Definition</w:t>
            </w:r>
          </w:p>
        </w:tc>
        <w:tc>
          <w:tcPr>
            <w:tcW w:type="dxa" w:w="225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🇬🇧 UK Context</w:t>
            </w:r>
          </w:p>
        </w:tc>
        <w:tc>
          <w:tcPr>
            <w:tcW w:type="dxa" w:w="225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🔗 Related Terms</w:t>
            </w:r>
          </w:p>
        </w:tc>
        <w:tc>
          <w:tcPr>
            <w:tcW w:type="dxa" w:w="225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💼 Commercial Use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5FF" w:sz="1"/>
              <w:left w:val="single" w:color="EBF5FF" w:sz="1"/>
              <w:bottom w:val="single" w:color="EBF5FF" w:sz="1"/>
              <w:right w:val="single" w:color="EBF5FF" w:sz="1"/>
            </w:tcBorders>
            <w:shd w:fill="EBF5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B1F3A"/>
                <w:sz w:val="22"/>
                <w:szCs w:val="22"/>
              </w:rPr>
              <w:t xml:space="preserve">Direct Answer: A data lake is a centralised repository that stores large volumes of raw data in its native format until needed — structured data (database tables), semi-structured (JSON, CSV logs), and unstructured (images, documents, audio). Unlike a data warehouse (which stores pre-processed, structured data), a data lake stores raw data and transforms it only when queried.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Data Lake — UK Context</w:t>
            </w:r>
          </w:p>
        </w:tc>
      </w:tr>
    </w:tbl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Data lakes have specific UK GDPR compliance challenges. Raw data in a data lake may include personal data that was collected for one purpose but retained indefinitely "for future analytics" — violating the data minimisation principle (UK GDPR Article 5(1)(c)). UK GDPR right to erasure (Article 17) is technically complex for data lakes: raw data files may contain personal data mixed with non-personal data, making deletion without data loss difficult. ClickMasters recommends: zone architecture (raw → cleansed → curated), UK GDPR retention policies enforced at the raw zone (automated deletion after defined period), and pseudonymisation before data reaches the curated zone.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Related Terms</w:t>
            </w:r>
          </w:p>
        </w:tc>
      </w:tr>
    </w:tbl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/>
          <w:bCs/>
          <w:i w:val="false"/>
          <w:iCs w:val="false"/>
          <w:color w:val="0B1F3A"/>
          <w:sz w:val="22"/>
          <w:szCs w:val="22"/>
        </w:rPr>
        <w:t xml:space="preserve">Data Warehouse: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Structured, processed data store — contrasts with data lake.</w:t>
      </w:r>
    </w:p>
    <w:p>
      <w:pPr>
        <w:spacing w:after="160" w:before="100"/>
      </w:pPr>
      <w:r>
        <w:rPr>
          <w:rFonts w:ascii="Arial" w:cs="Arial" w:eastAsia="Arial" w:hAnsi="Arial"/>
          <w:b/>
          <w:bCs/>
          <w:i w:val="false"/>
          <w:iCs w:val="false"/>
          <w:color w:val="0B1F3A"/>
          <w:sz w:val="22"/>
          <w:szCs w:val="22"/>
        </w:rPr>
        <w:t xml:space="preserve">Data Engineering: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The discipline of building and managing data lakes.</w:t>
      </w:r>
    </w:p>
    <w:p>
      <w:pPr>
        <w:spacing w:after="160" w:before="100"/>
      </w:pPr>
      <w:r>
        <w:rPr>
          <w:rFonts w:ascii="Arial" w:cs="Arial" w:eastAsia="Arial" w:hAnsi="Arial"/>
          <w:b/>
          <w:bCs/>
          <w:i w:val="false"/>
          <w:iCs w:val="false"/>
          <w:color w:val="0B1F3A"/>
          <w:sz w:val="22"/>
          <w:szCs w:val="22"/>
        </w:rPr>
        <w:t xml:space="preserve">UK GDPR Article 5: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Data minimisation principle — directly limits data lake retention.</w:t>
      </w:r>
    </w:p>
    <w:p>
      <w:pPr>
        <w:spacing w:after="160" w:before="100"/>
      </w:pPr>
      <w:r>
        <w:rPr>
          <w:rFonts w:ascii="Arial" w:cs="Arial" w:eastAsia="Arial" w:hAnsi="Arial"/>
          <w:b/>
          <w:bCs/>
          <w:i w:val="false"/>
          <w:iCs w:val="false"/>
          <w:color w:val="0B1F3A"/>
          <w:sz w:val="22"/>
          <w:szCs w:val="22"/>
        </w:rPr>
        <w:t xml:space="preserve">ETL/ELT: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Processes that move data into and out of data lakes.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Related Pages</w:t>
            </w:r>
          </w:p>
        </w:tc>
      </w:tr>
    </w:tbl>
    <w:p>
      <w:pPr>
        <w:spacing w:after="60" w:before="60"/>
      </w:pP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2332"/>
          <w:sz w:val="22"/>
          <w:szCs w:val="22"/>
        </w:rPr>
        <w:t xml:space="preserve">Data Engineering UK: /data-engineering/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2332"/>
          <w:sz w:val="22"/>
          <w:szCs w:val="22"/>
        </w:rPr>
        <w:t xml:space="preserve">UK GDPR Software Guide: /uk-gdpr-software-development-guide/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612A" w:sz="1"/>
              <w:left w:val="single" w:color="E8612A" w:sz="1"/>
              <w:bottom w:val="single" w:color="E8612A" w:sz="1"/>
              <w:right w:val="single" w:color="E8612A" w:sz="1"/>
            </w:tcBorders>
            <w:shd w:fill="0B1F3A" w:val="clear"/>
            <w:tcMar>
              <w:top w:type="dxa" w:w="240"/>
              <w:left w:type="dxa" w:w="280"/>
              <w:bottom w:type="dxa" w:w="240"/>
              <w:right w:type="dxa" w:w="28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Expert Advice on Data Lake</w:t>
            </w:r>
          </w:p>
          <w:p>
            <w:pPr>
              <w:spacing w:after="160" w:before="0"/>
            </w:pPr>
            <w:r>
              <w:rPr>
                <w:rFonts w:ascii="Arial" w:cs="Arial" w:eastAsia="Arial" w:hAnsi="Arial"/>
                <w:color w:val="BDD0E8"/>
                <w:sz w:val="22"/>
                <w:szCs w:val="22"/>
              </w:rPr>
              <w:t xml:space="preserve">Free consultation.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2"/>
                <w:szCs w:val="22"/>
              </w:rPr>
              <w:t xml:space="preserve">→ clickmasterssoftwaredevelopmentcompany.co.uk/contact/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DefinedTerm + FAQPage | "what is a data lake" (500/mo)</w:t>
            </w:r>
          </w:p>
        </w:tc>
      </w:tr>
    </w:tbl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after="60" w:before="60"/>
        <w:ind w:left="720" w:hanging="360"/>
      </w:pPr>
      <w:rPr>
        <w:rFonts w:ascii="Arial" w:cs="Arial" w:eastAsia="Arial" w:hAnsi="Arial"/>
        <w:sz w:val="22"/>
        <w:szCs w:val="22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–"/>
      <w:lvlJc w:val="left"/>
      <w:pPr>
        <w:spacing w:after="60" w:before="60"/>
        <w:ind w:left="720" w:hanging="360"/>
      </w:pPr>
      <w:rPr>
        <w:rFonts w:ascii="Arial" w:cs="Arial" w:eastAsia="Arial" w:hAnsi="Arial"/>
        <w:color w:val="1A4A8A"/>
        <w:sz w:val="22"/>
        <w:szCs w:val="22"/>
      </w:r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✓"/>
      <w:lvlJc w:val="left"/>
      <w:pPr>
        <w:spacing w:after="60" w:before="60"/>
        <w:ind w:left="720" w:hanging="360"/>
      </w:pPr>
      <w:rPr>
        <w:rFonts w:ascii="Arial" w:cs="Arial" w:eastAsia="Arial" w:hAnsi="Arial"/>
        <w:b/>
        <w:bCs/>
        <w:color w:val="1A6B47"/>
        <w:sz w:val="22"/>
        <w:szCs w:val="22"/>
      </w:r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0B1F3A"/>
      <w:sz w:val="40"/>
      <w:szCs w:val="40"/>
    </w:rPr>
  </w:style>
  <w:style w:type="paragraph" w:styleId="Heading2">
    <w:name w:val="Heading 2"/>
    <w:basedOn w:val="Normal"/>
    <w:next w:val="Normal"/>
    <w:qFormat/>
    <w:pPr>
      <w:spacing w:after="140" w:before="300"/>
      <w:outlineLvl w:val="1"/>
    </w:pPr>
    <w:rPr>
      <w:rFonts w:ascii="Arial" w:cs="Arial" w:eastAsia="Arial" w:hAnsi="Arial"/>
      <w:b/>
      <w:bCs/>
      <w:color w:val="0B1F3A"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2026-05-23T10:56:27.234Z</dcterms:created>
  <dcterms:modified xsi:type="dcterms:W3CDTF">2026-05-23T10:56:27.234Z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