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W w:type="dxa" w:w="9026"/>
            <w:tcBorders>
              <w:top w:val="single" w:color="EBF2FA" w:sz="1"/>
              <w:left w:val="single" w:color="EBF2FA" w:sz="1"/>
              <w:bottom w:val="single" w:color="EBF2FA" w:sz="1"/>
              <w:right w:val="single" w:color="EBF2FA" w:sz="1"/>
            </w:tcBorders>
            <w:shd w:fill="EBF2FA" w:val="clear"/>
            <w:tcMar>
              <w:top w:type="dxa" w:w="160"/>
              <w:left w:type="dxa" w:w="200"/>
              <w:bottom w:type="dxa" w:w="160"/>
              <w:right w:type="dxa" w:w="200"/>
            </w:tcMar>
          </w:tcPr>
          <w:p>
            <w:pPr>
              <w:spacing w:after="0" w:before="0"/>
            </w:pPr>
            <w:r>
              <w:rPr>
                <w:rFonts w:ascii="Arial" w:cs="Arial" w:eastAsia="Arial" w:hAnsi="Arial"/>
                <w:b w:val="false"/>
                <w:bCs w:val="false"/>
                <w:i w:val="false"/>
                <w:iCs w:val="false"/>
                <w:color w:val="5A6E82"/>
                <w:sz w:val="18"/>
                <w:szCs w:val="18"/>
              </w:rPr>
              <w:t xml:space="preserve">META TITLE: What is Shadow IT? UK Definition | ClickMasters
META DESC: Shadow IT explained. Shadow IT refers to software systems, devices, cloud services, or applications used within an organisation wit...
SLUG: /glossary/shadow-it-definition/</w:t>
            </w:r>
          </w:p>
        </w:tc>
      </w:tr>
    </w:tbl>
    <w:p>
      <w:pPr>
        <w:spacing w:after="60" w:before="60"/>
      </w:pP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W w:type="dxa" w:w="9026"/>
            <w:tcBorders>
              <w:top w:val="single" w:color="EBF2FA" w:sz="1"/>
              <w:left w:val="single" w:color="EBF2FA" w:sz="1"/>
              <w:bottom w:val="single" w:color="EBF2FA" w:sz="1"/>
              <w:right w:val="single" w:color="EBF2FA" w:sz="1"/>
            </w:tcBorders>
            <w:shd w:fill="EBF2FA" w:val="clear"/>
            <w:tcMar>
              <w:top w:type="dxa" w:w="160"/>
              <w:left w:type="dxa" w:w="200"/>
              <w:bottom w:type="dxa" w:w="160"/>
              <w:right w:type="dxa" w:w="200"/>
            </w:tcMar>
          </w:tcPr>
          <w:p>
            <w:pPr>
              <w:spacing w:after="0" w:before="0"/>
            </w:pPr>
            <w:r>
              <w:rPr>
                <w:rFonts w:ascii="Arial" w:cs="Arial" w:eastAsia="Arial" w:hAnsi="Arial"/>
                <w:b w:val="false"/>
                <w:bCs w:val="false"/>
                <w:i w:val="false"/>
                <w:iCs w:val="false"/>
                <w:color w:val="5A6E82"/>
                <w:sz w:val="18"/>
                <w:szCs w:val="18"/>
              </w:rPr>
              <w:t xml:space="preserve">Last updated: June 2025  |  Reading time: 4 min  |  Written by: ClickMasters Technical Team  |  Reviewed by: James Whitmore, CTO</w:t>
            </w:r>
          </w:p>
        </w:tc>
      </w:tr>
    </w:tbl>
    <w:p>
      <w:pPr>
        <w:spacing w:after="60" w:before="60"/>
      </w:pPr>
    </w:p>
    <w:p>
      <w:pPr>
        <w:spacing w:after="100" w:before="100"/>
      </w:pPr>
      <w:r>
        <w:rPr>
          <w:rFonts w:ascii="Arial" w:cs="Arial" w:eastAsia="Arial" w:hAnsi="Arial"/>
          <w:b w:val="false"/>
          <w:bCs w:val="false"/>
          <w:color w:val="1A4A8A"/>
          <w:sz w:val="18"/>
          <w:szCs w:val="18"/>
        </w:rPr>
        <w:t xml:space="preserve">Home</w:t>
      </w:r>
      <w:r>
        <w:rPr>
          <w:rFonts w:ascii="Arial" w:cs="Arial" w:eastAsia="Arial" w:hAnsi="Arial"/>
          <w:color w:val="5A6E82"/>
          <w:sz w:val="18"/>
          <w:szCs w:val="18"/>
        </w:rPr>
        <w:t xml:space="preserve"> › </w:t>
      </w:r>
      <w:r>
        <w:rPr>
          <w:rFonts w:ascii="Arial" w:cs="Arial" w:eastAsia="Arial" w:hAnsi="Arial"/>
          <w:b w:val="false"/>
          <w:bCs w:val="false"/>
          <w:color w:val="1A4A8A"/>
          <w:sz w:val="18"/>
          <w:szCs w:val="18"/>
        </w:rPr>
        <w:t xml:space="preserve">Glossary</w:t>
      </w:r>
      <w:r>
        <w:rPr>
          <w:rFonts w:ascii="Arial" w:cs="Arial" w:eastAsia="Arial" w:hAnsi="Arial"/>
          <w:color w:val="5A6E82"/>
          <w:sz w:val="18"/>
          <w:szCs w:val="18"/>
        </w:rPr>
        <w:t xml:space="preserve"> › </w:t>
      </w:r>
      <w:r>
        <w:rPr>
          <w:rFonts w:ascii="Arial" w:cs="Arial" w:eastAsia="Arial" w:hAnsi="Arial"/>
          <w:b/>
          <w:bCs/>
          <w:color w:val="1A2332"/>
          <w:sz w:val="18"/>
          <w:szCs w:val="18"/>
        </w:rPr>
        <w:t xml:space="preserve">What is Shadow IT?</w:t>
      </w:r>
    </w:p>
    <w:p>
      <w:pPr>
        <w:spacing w:after="60" w:before="60"/>
      </w:pPr>
    </w:p>
    <w:p>
      <w:pPr>
        <w:pStyle w:val="Heading1"/>
        <w:spacing w:after="160" w:before="360"/>
      </w:pPr>
      <w:r>
        <w:rPr>
          <w:rFonts w:ascii="Arial" w:cs="Arial" w:eastAsia="Arial" w:hAnsi="Arial"/>
          <w:b/>
          <w:bCs/>
          <w:color w:val="0B1F3A"/>
          <w:sz w:val="40"/>
          <w:szCs w:val="40"/>
        </w:rPr>
        <w:t xml:space="preserve">What is Shadow IT? — UK Software Development Guide</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256"/>
        <w:gridCol w:w="2256"/>
        <w:gridCol w:w="2256"/>
        <w:gridCol w:w="2256"/>
      </w:tblGrid>
      <w:tr>
        <w:tc>
          <w:tcPr>
            <w:tcW w:type="dxa" w:w="2256"/>
            <w:tcBorders>
              <w:top w:val="single" w:color="D6E4F5" w:sz="1"/>
              <w:left w:val="single" w:color="D6E4F5" w:sz="1"/>
              <w:bottom w:val="single" w:color="D6E4F5" w:sz="1"/>
              <w:right w:val="single" w:color="D6E4F5" w:sz="1"/>
            </w:tcBorders>
            <w:shd w:fill="EBF2FA" w:val="clear"/>
            <w:tcMar>
              <w:top w:type="dxa" w:w="80"/>
              <w:left w:type="dxa" w:w="60"/>
              <w:bottom w:type="dxa" w:w="80"/>
              <w:right w:type="dxa" w:w="60"/>
            </w:tcMar>
          </w:tcPr>
          <w:p>
            <w:pPr>
              <w:spacing w:after="0" w:before="0"/>
              <w:jc w:val="center"/>
            </w:pPr>
            <w:r>
              <w:rPr>
                <w:rFonts w:ascii="Arial" w:cs="Arial" w:eastAsia="Arial" w:hAnsi="Arial"/>
                <w:b/>
                <w:bCs/>
                <w:color w:val="0B1F3A"/>
                <w:sz w:val="17"/>
                <w:szCs w:val="17"/>
              </w:rPr>
              <w:t xml:space="preserve">📚 Definition</w:t>
            </w:r>
          </w:p>
        </w:tc>
        <w:tc>
          <w:tcPr>
            <w:tcW w:type="dxa" w:w="2256"/>
            <w:tcBorders>
              <w:top w:val="single" w:color="D6E4F5" w:sz="1"/>
              <w:left w:val="single" w:color="D6E4F5" w:sz="1"/>
              <w:bottom w:val="single" w:color="D6E4F5" w:sz="1"/>
              <w:right w:val="single" w:color="D6E4F5" w:sz="1"/>
            </w:tcBorders>
            <w:shd w:fill="EBF2FA" w:val="clear"/>
            <w:tcMar>
              <w:top w:type="dxa" w:w="80"/>
              <w:left w:type="dxa" w:w="60"/>
              <w:bottom w:type="dxa" w:w="80"/>
              <w:right w:type="dxa" w:w="60"/>
            </w:tcMar>
          </w:tcPr>
          <w:p>
            <w:pPr>
              <w:spacing w:after="0" w:before="0"/>
              <w:jc w:val="center"/>
            </w:pPr>
            <w:r>
              <w:rPr>
                <w:rFonts w:ascii="Arial" w:cs="Arial" w:eastAsia="Arial" w:hAnsi="Arial"/>
                <w:b/>
                <w:bCs/>
                <w:color w:val="0B1F3A"/>
                <w:sz w:val="17"/>
                <w:szCs w:val="17"/>
              </w:rPr>
              <w:t xml:space="preserve">🇬🇧 UK Context</w:t>
            </w:r>
          </w:p>
        </w:tc>
        <w:tc>
          <w:tcPr>
            <w:tcW w:type="dxa" w:w="2256"/>
            <w:tcBorders>
              <w:top w:val="single" w:color="D6E4F5" w:sz="1"/>
              <w:left w:val="single" w:color="D6E4F5" w:sz="1"/>
              <w:bottom w:val="single" w:color="D6E4F5" w:sz="1"/>
              <w:right w:val="single" w:color="D6E4F5" w:sz="1"/>
            </w:tcBorders>
            <w:shd w:fill="EBF2FA" w:val="clear"/>
            <w:tcMar>
              <w:top w:type="dxa" w:w="80"/>
              <w:left w:type="dxa" w:w="60"/>
              <w:bottom w:type="dxa" w:w="80"/>
              <w:right w:type="dxa" w:w="60"/>
            </w:tcMar>
          </w:tcPr>
          <w:p>
            <w:pPr>
              <w:spacing w:after="0" w:before="0"/>
              <w:jc w:val="center"/>
            </w:pPr>
            <w:r>
              <w:rPr>
                <w:rFonts w:ascii="Arial" w:cs="Arial" w:eastAsia="Arial" w:hAnsi="Arial"/>
                <w:b/>
                <w:bCs/>
                <w:color w:val="0B1F3A"/>
                <w:sz w:val="17"/>
                <w:szCs w:val="17"/>
              </w:rPr>
              <w:t xml:space="preserve">🔗 Related Terms</w:t>
            </w:r>
          </w:p>
        </w:tc>
        <w:tc>
          <w:tcPr>
            <w:tcW w:type="dxa" w:w="2256"/>
            <w:tcBorders>
              <w:top w:val="single" w:color="D6E4F5" w:sz="1"/>
              <w:left w:val="single" w:color="D6E4F5" w:sz="1"/>
              <w:bottom w:val="single" w:color="D6E4F5" w:sz="1"/>
              <w:right w:val="single" w:color="D6E4F5" w:sz="1"/>
            </w:tcBorders>
            <w:shd w:fill="EBF2FA" w:val="clear"/>
            <w:tcMar>
              <w:top w:type="dxa" w:w="80"/>
              <w:left w:type="dxa" w:w="60"/>
              <w:bottom w:type="dxa" w:w="80"/>
              <w:right w:type="dxa" w:w="60"/>
            </w:tcMar>
          </w:tcPr>
          <w:p>
            <w:pPr>
              <w:spacing w:after="0" w:before="0"/>
              <w:jc w:val="center"/>
            </w:pPr>
            <w:r>
              <w:rPr>
                <w:rFonts w:ascii="Arial" w:cs="Arial" w:eastAsia="Arial" w:hAnsi="Arial"/>
                <w:b/>
                <w:bCs/>
                <w:color w:val="0B1F3A"/>
                <w:sz w:val="17"/>
                <w:szCs w:val="17"/>
              </w:rPr>
              <w:t xml:space="preserve">💼 Commercial Use</w:t>
            </w:r>
          </w:p>
        </w:tc>
      </w:tr>
    </w:tbl>
    <w:p>
      <w:pPr>
        <w:spacing w:after="60" w:before="60"/>
      </w:pP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W w:type="dxa" w:w="9026"/>
            <w:tcBorders>
              <w:top w:val="single" w:color="EBF5FF" w:sz="1"/>
              <w:left w:val="single" w:color="EBF5FF" w:sz="1"/>
              <w:bottom w:val="single" w:color="EBF5FF" w:sz="1"/>
              <w:right w:val="single" w:color="EBF5FF" w:sz="1"/>
            </w:tcBorders>
            <w:shd w:fill="EBF5FF" w:val="clear"/>
            <w:tcMar>
              <w:top w:type="dxa" w:w="160"/>
              <w:left w:type="dxa" w:w="200"/>
              <w:bottom w:type="dxa" w:w="160"/>
              <w:right w:type="dxa" w:w="200"/>
            </w:tcMar>
          </w:tcPr>
          <w:p>
            <w:pPr>
              <w:spacing w:after="0" w:before="0"/>
            </w:pPr>
            <w:r>
              <w:rPr>
                <w:rFonts w:ascii="Arial" w:cs="Arial" w:eastAsia="Arial" w:hAnsi="Arial"/>
                <w:b w:val="false"/>
                <w:bCs w:val="false"/>
                <w:i w:val="false"/>
                <w:iCs w:val="false"/>
                <w:color w:val="0B1F3A"/>
                <w:sz w:val="22"/>
                <w:szCs w:val="22"/>
              </w:rPr>
              <w:t xml:space="preserve">Direct Answer: Shadow IT refers to software systems, devices, cloud services, or applications used within an organisation without the knowledge or approval of the IT department. Common examples: employees using personal Dropbox or Google Drive for work documents, teams using Slack when the company standard is Teams, or departments subscribing to SaaS tools on corporate cards without IT procurement.</w:t>
            </w:r>
          </w:p>
        </w:tc>
      </w:tr>
    </w:tbl>
    <w:p>
      <w:pPr>
        <w:spacing w:after="60" w:before="60"/>
      </w:pP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120"/>
        <w:gridCol w:w="8906"/>
      </w:tblGrid>
      <w:tr>
        <w:tc>
          <w:tcPr>
            <w:tcW w:type="dxa" w:w="120"/>
            <w:tcBorders>
              <w:top w:val="nil" w:color="FFFFFF" w:sz="0"/>
              <w:left w:val="nil" w:color="FFFFFF" w:sz="0"/>
              <w:bottom w:val="nil" w:color="FFFFFF" w:sz="0"/>
              <w:right w:val="nil" w:color="FFFFFF" w:sz="0"/>
            </w:tcBorders>
            <w:shd w:fill="E8612A" w:val="clear"/>
          </w:tcPr>
          <w:p/>
        </w:tc>
        <w:tc>
          <w:tcPr>
            <w:tcW w:type="dxa" w:w="8906"/>
            <w:tcBorders>
              <w:bottom w:val="single" w:color="D6E4F5" w:sz="1"/>
            </w:tcBorders>
            <w:shd w:fill="FFFFFF" w:val="clear"/>
            <w:tcMar>
              <w:left w:type="dxa" w:w="200"/>
            </w:tcMar>
          </w:tcPr>
          <w:p>
            <w:pPr>
              <w:spacing w:after="100" w:before="100"/>
            </w:pPr>
            <w:r>
              <w:rPr>
                <w:rFonts w:ascii="Arial" w:cs="Arial" w:eastAsia="Arial" w:hAnsi="Arial"/>
                <w:b/>
                <w:bCs/>
                <w:color w:val="0B1F3A"/>
                <w:sz w:val="30"/>
                <w:szCs w:val="30"/>
              </w:rPr>
              <w:t xml:space="preserve">Shadow IT — UK Context</w:t>
            </w:r>
          </w:p>
        </w:tc>
      </w:tr>
    </w:tbl>
    <w:p>
      <w:pPr>
        <w:spacing w:after="60" w:before="60"/>
      </w:pPr>
    </w:p>
    <w:p>
      <w:pPr>
        <w:spacing w:after="160" w:before="100"/>
      </w:pPr>
      <w:r>
        <w:rPr>
          <w:rFonts w:ascii="Arial" w:cs="Arial" w:eastAsia="Arial" w:hAnsi="Arial"/>
          <w:b w:val="false"/>
          <w:bCs w:val="false"/>
          <w:i w:val="false"/>
          <w:iCs w:val="false"/>
          <w:color w:val="1A2332"/>
          <w:sz w:val="22"/>
          <w:szCs w:val="22"/>
        </w:rPr>
        <w:t xml:space="preserve">Shadow IT has significant UK GDPR implications. GDPR holds the data controller responsible for all processing of personal data — including by shadow IT systems. If employees process customer data in an unapproved SaaS tool, the organisation is still liable for that processing. The ICO has taken enforcement action where shadow IT created unlawful personal data processing. UK GDPR requirements: organisations must maintain Article 30 Records of Processing Activities — shadow IT makes this impossible if IT does not know about the processing. NCSC guidance warns against shadow IT as a Cyber Essentials compliance risk (unapproved software may not be patched within the 14-day CE requirement).</w:t>
      </w:r>
    </w:p>
    <w:p>
      <w:pPr>
        <w:spacing w:after="60" w:before="60"/>
      </w:pPr>
    </w:p>
    <w:p>
      <w:pPr>
        <w:spacing w:after="60" w:before="60"/>
      </w:pP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120"/>
        <w:gridCol w:w="8906"/>
      </w:tblGrid>
      <w:tr>
        <w:tc>
          <w:tcPr>
            <w:tcW w:type="dxa" w:w="120"/>
            <w:tcBorders>
              <w:top w:val="nil" w:color="FFFFFF" w:sz="0"/>
              <w:left w:val="nil" w:color="FFFFFF" w:sz="0"/>
              <w:bottom w:val="nil" w:color="FFFFFF" w:sz="0"/>
              <w:right w:val="nil" w:color="FFFFFF" w:sz="0"/>
            </w:tcBorders>
            <w:shd w:fill="E8612A" w:val="clear"/>
          </w:tcPr>
          <w:p/>
        </w:tc>
        <w:tc>
          <w:tcPr>
            <w:tcW w:type="dxa" w:w="8906"/>
            <w:tcBorders>
              <w:bottom w:val="single" w:color="D6E4F5" w:sz="1"/>
            </w:tcBorders>
            <w:shd w:fill="FFFFFF" w:val="clear"/>
            <w:tcMar>
              <w:left w:type="dxa" w:w="200"/>
            </w:tcMar>
          </w:tcPr>
          <w:p>
            <w:pPr>
              <w:spacing w:after="100" w:before="100"/>
            </w:pPr>
            <w:r>
              <w:rPr>
                <w:rFonts w:ascii="Arial" w:cs="Arial" w:eastAsia="Arial" w:hAnsi="Arial"/>
                <w:b/>
                <w:bCs/>
                <w:color w:val="0B1F3A"/>
                <w:sz w:val="30"/>
                <w:szCs w:val="30"/>
              </w:rPr>
              <w:t xml:space="preserve">Related Terms</w:t>
            </w:r>
          </w:p>
        </w:tc>
      </w:tr>
    </w:tbl>
    <w:p>
      <w:pPr>
        <w:spacing w:after="60" w:before="60"/>
      </w:pPr>
    </w:p>
    <w:p>
      <w:pPr>
        <w:spacing w:after="160" w:before="100"/>
      </w:pPr>
      <w:r>
        <w:rPr>
          <w:rFonts w:ascii="Arial" w:cs="Arial" w:eastAsia="Arial" w:hAnsi="Arial"/>
          <w:b/>
          <w:bCs/>
          <w:i w:val="false"/>
          <w:iCs w:val="false"/>
          <w:color w:val="0B1F3A"/>
          <w:sz w:val="22"/>
          <w:szCs w:val="22"/>
        </w:rPr>
        <w:t xml:space="preserve">UK GDPR: </w:t>
      </w:r>
      <w:r>
        <w:rPr>
          <w:rFonts w:ascii="Arial" w:cs="Arial" w:eastAsia="Arial" w:hAnsi="Arial"/>
          <w:b w:val="false"/>
          <w:bCs w:val="false"/>
          <w:i w:val="false"/>
          <w:iCs w:val="false"/>
          <w:color w:val="1A2332"/>
          <w:sz w:val="22"/>
          <w:szCs w:val="22"/>
        </w:rPr>
        <w:t xml:space="preserve">Shadow IT creates GDPR compliance failures.</w:t>
      </w:r>
    </w:p>
    <w:p>
      <w:pPr>
        <w:spacing w:after="160" w:before="100"/>
      </w:pPr>
      <w:r>
        <w:rPr>
          <w:rFonts w:ascii="Arial" w:cs="Arial" w:eastAsia="Arial" w:hAnsi="Arial"/>
          <w:b/>
          <w:bCs/>
          <w:i w:val="false"/>
          <w:iCs w:val="false"/>
          <w:color w:val="0B1F3A"/>
          <w:sz w:val="22"/>
          <w:szCs w:val="22"/>
        </w:rPr>
        <w:t xml:space="preserve">Cyber Essentials: </w:t>
      </w:r>
      <w:r>
        <w:rPr>
          <w:rFonts w:ascii="Arial" w:cs="Arial" w:eastAsia="Arial" w:hAnsi="Arial"/>
          <w:b w:val="false"/>
          <w:bCs w:val="false"/>
          <w:i w:val="false"/>
          <w:iCs w:val="false"/>
          <w:color w:val="1A2332"/>
          <w:sz w:val="22"/>
          <w:szCs w:val="22"/>
        </w:rPr>
        <w:t xml:space="preserve">Shadow IT violates the patch management and secure configuration controls.</w:t>
      </w:r>
    </w:p>
    <w:p>
      <w:pPr>
        <w:spacing w:after="160" w:before="100"/>
      </w:pPr>
      <w:r>
        <w:rPr>
          <w:rFonts w:ascii="Arial" w:cs="Arial" w:eastAsia="Arial" w:hAnsi="Arial"/>
          <w:b/>
          <w:bCs/>
          <w:i w:val="false"/>
          <w:iCs w:val="false"/>
          <w:color w:val="0B1F3A"/>
          <w:sz w:val="22"/>
          <w:szCs w:val="22"/>
        </w:rPr>
        <w:t xml:space="preserve">Article 30 ROPA: </w:t>
      </w:r>
      <w:r>
        <w:rPr>
          <w:rFonts w:ascii="Arial" w:cs="Arial" w:eastAsia="Arial" w:hAnsi="Arial"/>
          <w:b w:val="false"/>
          <w:bCs w:val="false"/>
          <w:i w:val="false"/>
          <w:iCs w:val="false"/>
          <w:color w:val="1A2332"/>
          <w:sz w:val="22"/>
          <w:szCs w:val="22"/>
        </w:rPr>
        <w:t xml:space="preserve">Records of Processing Activities — impossible to maintain with shadow IT.</w:t>
      </w:r>
    </w:p>
    <w:p>
      <w:pPr>
        <w:spacing w:after="160" w:before="100"/>
      </w:pPr>
      <w:r>
        <w:rPr>
          <w:rFonts w:ascii="Arial" w:cs="Arial" w:eastAsia="Arial" w:hAnsi="Arial"/>
          <w:b/>
          <w:bCs/>
          <w:i w:val="false"/>
          <w:iCs w:val="false"/>
          <w:color w:val="0B1F3A"/>
          <w:sz w:val="22"/>
          <w:szCs w:val="22"/>
        </w:rPr>
        <w:t xml:space="preserve">ICO Enforcement: </w:t>
      </w:r>
      <w:r>
        <w:rPr>
          <w:rFonts w:ascii="Arial" w:cs="Arial" w:eastAsia="Arial" w:hAnsi="Arial"/>
          <w:b w:val="false"/>
          <w:bCs w:val="false"/>
          <w:i w:val="false"/>
          <w:iCs w:val="false"/>
          <w:color w:val="1A2332"/>
          <w:sz w:val="22"/>
          <w:szCs w:val="22"/>
        </w:rPr>
        <w:t xml:space="preserve">Shadow IT processing is a common ICO investigation trigger.</w:t>
      </w:r>
    </w:p>
    <w:p>
      <w:pPr>
        <w:spacing w:after="60" w:before="60"/>
      </w:pPr>
    </w:p>
    <w:p>
      <w:pPr>
        <w:spacing w:after="60" w:before="60"/>
      </w:pP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120"/>
        <w:gridCol w:w="8906"/>
      </w:tblGrid>
      <w:tr>
        <w:tc>
          <w:tcPr>
            <w:tcW w:type="dxa" w:w="120"/>
            <w:tcBorders>
              <w:top w:val="nil" w:color="FFFFFF" w:sz="0"/>
              <w:left w:val="nil" w:color="FFFFFF" w:sz="0"/>
              <w:bottom w:val="nil" w:color="FFFFFF" w:sz="0"/>
              <w:right w:val="nil" w:color="FFFFFF" w:sz="0"/>
            </w:tcBorders>
            <w:shd w:fill="E8612A" w:val="clear"/>
          </w:tcPr>
          <w:p/>
        </w:tc>
        <w:tc>
          <w:tcPr>
            <w:tcW w:type="dxa" w:w="8906"/>
            <w:tcBorders>
              <w:bottom w:val="single" w:color="D6E4F5" w:sz="1"/>
            </w:tcBorders>
            <w:shd w:fill="FFFFFF" w:val="clear"/>
            <w:tcMar>
              <w:left w:type="dxa" w:w="200"/>
            </w:tcMar>
          </w:tcPr>
          <w:p>
            <w:pPr>
              <w:spacing w:after="100" w:before="100"/>
            </w:pPr>
            <w:r>
              <w:rPr>
                <w:rFonts w:ascii="Arial" w:cs="Arial" w:eastAsia="Arial" w:hAnsi="Arial"/>
                <w:b/>
                <w:bCs/>
                <w:color w:val="0B1F3A"/>
                <w:sz w:val="30"/>
                <w:szCs w:val="30"/>
              </w:rPr>
              <w:t xml:space="preserve">Related Pages</w:t>
            </w:r>
          </w:p>
        </w:tc>
      </w:tr>
    </w:tbl>
    <w:p>
      <w:pPr>
        <w:spacing w:after="60" w:before="60"/>
      </w:pPr>
    </w:p>
    <w:p>
      <w:pPr>
        <w:pStyle w:val="ListParagraph"/>
        <w:numPr>
          <w:ilvl w:val="0"/>
          <w:numId w:val="2"/>
        </w:numPr>
        <w:spacing w:after="60" w:before="60"/>
      </w:pPr>
      <w:r>
        <w:rPr>
          <w:rFonts w:ascii="Arial" w:cs="Arial" w:eastAsia="Arial" w:hAnsi="Arial"/>
          <w:b w:val="false"/>
          <w:bCs w:val="false"/>
          <w:color w:val="1A2332"/>
          <w:sz w:val="22"/>
          <w:szCs w:val="22"/>
        </w:rPr>
        <w:t xml:space="preserve">UK GDPR Software Guide: /uk-gdpr-software-development-guide/</w:t>
      </w:r>
    </w:p>
    <w:p>
      <w:pPr>
        <w:pStyle w:val="ListParagraph"/>
        <w:numPr>
          <w:ilvl w:val="0"/>
          <w:numId w:val="2"/>
        </w:numPr>
        <w:spacing w:after="60" w:before="60"/>
      </w:pPr>
      <w:r>
        <w:rPr>
          <w:rFonts w:ascii="Arial" w:cs="Arial" w:eastAsia="Arial" w:hAnsi="Arial"/>
          <w:b w:val="false"/>
          <w:bCs w:val="false"/>
          <w:color w:val="1A2332"/>
          <w:sz w:val="22"/>
          <w:szCs w:val="22"/>
        </w:rPr>
        <w:t xml:space="preserve">Cyber Essentials Software UK: /cyber-essentials-software-companies/</w:t>
      </w:r>
    </w:p>
    <w:p>
      <w:pPr>
        <w:spacing w:after="60" w:before="60"/>
      </w:pPr>
    </w:p>
    <w:p>
      <w:pPr>
        <w:spacing w:after="60" w:before="60"/>
      </w:pP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W w:type="dxa" w:w="9026"/>
            <w:tcBorders>
              <w:top w:val="single" w:color="E8612A" w:sz="1"/>
              <w:left w:val="single" w:color="E8612A" w:sz="1"/>
              <w:bottom w:val="single" w:color="E8612A" w:sz="1"/>
              <w:right w:val="single" w:color="E8612A" w:sz="1"/>
            </w:tcBorders>
            <w:shd w:fill="0B1F3A" w:val="clear"/>
            <w:tcMar>
              <w:top w:type="dxa" w:w="240"/>
              <w:left w:type="dxa" w:w="280"/>
              <w:bottom w:type="dxa" w:w="240"/>
              <w:right w:type="dxa" w:w="280"/>
            </w:tcMar>
          </w:tcPr>
          <w:p>
            <w:pPr>
              <w:spacing w:after="100" w:before="0"/>
            </w:pPr>
            <w:r>
              <w:rPr>
                <w:rFonts w:ascii="Arial" w:cs="Arial" w:eastAsia="Arial" w:hAnsi="Arial"/>
                <w:b/>
                <w:bCs/>
                <w:color w:val="FFFFFF"/>
                <w:sz w:val="28"/>
                <w:szCs w:val="28"/>
              </w:rPr>
              <w:t xml:space="preserve">Expert Advice on Shadow IT</w:t>
            </w:r>
          </w:p>
          <w:p>
            <w:pPr>
              <w:spacing w:after="160" w:before="0"/>
            </w:pPr>
            <w:r>
              <w:rPr>
                <w:rFonts w:ascii="Arial" w:cs="Arial" w:eastAsia="Arial" w:hAnsi="Arial"/>
                <w:color w:val="BDD0E8"/>
                <w:sz w:val="22"/>
                <w:szCs w:val="22"/>
              </w:rPr>
              <w:t xml:space="preserve">Free consultation.</w:t>
            </w:r>
          </w:p>
          <w:p>
            <w:pPr>
              <w:spacing w:after="0" w:before="0"/>
            </w:pPr>
            <w:r>
              <w:rPr>
                <w:rFonts w:ascii="Arial" w:cs="Arial" w:eastAsia="Arial" w:hAnsi="Arial"/>
                <w:b/>
                <w:bCs/>
                <w:color w:val="E8612A"/>
                <w:sz w:val="22"/>
                <w:szCs w:val="22"/>
              </w:rPr>
              <w:t xml:space="preserve">→ clickmasterssoftwaredevelopmentcompany.co.uk/contact/</w:t>
            </w:r>
          </w:p>
        </w:tc>
      </w:tr>
    </w:tbl>
    <w:p>
      <w:pPr>
        <w:spacing w:after="60" w:before="60"/>
      </w:pP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W w:type="dxa" w:w="9026"/>
            <w:tcBorders>
              <w:top w:val="single" w:color="EBF2FA" w:sz="1"/>
              <w:left w:val="single" w:color="EBF2FA" w:sz="1"/>
              <w:bottom w:val="single" w:color="EBF2FA" w:sz="1"/>
              <w:right w:val="single" w:color="EBF2FA" w:sz="1"/>
            </w:tcBorders>
            <w:shd w:fill="EBF2FA" w:val="clear"/>
            <w:tcMar>
              <w:top w:type="dxa" w:w="160"/>
              <w:left w:type="dxa" w:w="200"/>
              <w:bottom w:type="dxa" w:w="160"/>
              <w:right w:type="dxa" w:w="200"/>
            </w:tcMar>
          </w:tcPr>
          <w:p>
            <w:pPr>
              <w:spacing w:after="0" w:before="0"/>
            </w:pPr>
            <w:r>
              <w:rPr>
                <w:rFonts w:ascii="Arial" w:cs="Arial" w:eastAsia="Arial" w:hAnsi="Arial"/>
                <w:b w:val="false"/>
                <w:bCs w:val="false"/>
                <w:i w:val="false"/>
                <w:iCs w:val="false"/>
                <w:color w:val="5A6E82"/>
                <w:sz w:val="18"/>
                <w:szCs w:val="18"/>
              </w:rPr>
              <w:t xml:space="preserve">DefinedTerm + FAQPage | "what is shadow it" (500/mo)</w:t>
            </w:r>
          </w:p>
        </w:tc>
      </w:tr>
    </w:tbl>
    <w:sectPr>
      <w:pgSz w:w="11906" w:h="16838" w:orient="portrait"/>
      <w:pgMar w:top="1080" w:right="1080" w:bottom="1080" w:left="108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spacing w:after="60" w:before="60"/>
        <w:ind w:left="720" w:hanging="360"/>
      </w:pPr>
      <w:rPr>
        <w:rFonts w:ascii="Arial" w:cs="Arial" w:eastAsia="Arial" w:hAnsi="Arial"/>
        <w:sz w:val="22"/>
        <w:szCs w:val="22"/>
      </w:rPr>
    </w:lvl>
  </w:abstractNum>
  <w:abstractNum w:abstractNumId="3" w15:restartNumberingAfterBreak="0">
    <w:multiLevelType w:val="hybridMultilevel"/>
    <w:lvl w:ilvl="0" w15:tentative="1">
      <w:start w:val="1"/>
      <w:numFmt w:val="bullet"/>
      <w:lvlText w:val="–"/>
      <w:lvlJc w:val="left"/>
      <w:pPr>
        <w:spacing w:after="60" w:before="60"/>
        <w:ind w:left="720" w:hanging="360"/>
      </w:pPr>
      <w:rPr>
        <w:rFonts w:ascii="Arial" w:cs="Arial" w:eastAsia="Arial" w:hAnsi="Arial"/>
        <w:color w:val="1A4A8A"/>
        <w:sz w:val="22"/>
        <w:szCs w:val="22"/>
      </w:rPr>
    </w:lvl>
  </w:abstractNum>
  <w:abstractNum w:abstractNumId="4" w15:restartNumberingAfterBreak="0">
    <w:multiLevelType w:val="hybridMultilevel"/>
    <w:lvl w:ilvl="0" w15:tentative="1">
      <w:start w:val="1"/>
      <w:numFmt w:val="bullet"/>
      <w:lvlText w:val="✓"/>
      <w:lvlJc w:val="left"/>
      <w:pPr>
        <w:spacing w:after="60" w:before="60"/>
        <w:ind w:left="720" w:hanging="360"/>
      </w:pPr>
      <w:rPr>
        <w:rFonts w:ascii="Arial" w:cs="Arial" w:eastAsia="Arial" w:hAnsi="Arial"/>
        <w:b/>
        <w:bCs/>
        <w:color w:val="1A6B47"/>
        <w:sz w:val="22"/>
        <w:szCs w:val="22"/>
      </w:rPr>
    </w:lvl>
  </w:abstractNum>
  <w:num w:numId="1">
    <w:abstractNumId w:val="1"/>
    <w:lvlOverride w:ilvl="0">
      <w:startOverride w:val="1"/>
    </w:lvlOverride>
  </w:num>
  <w:num w:numId="2">
    <w:abstractNumId w:val="3"/>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160" w:before="360"/>
      <w:outlineLvl w:val="0"/>
    </w:pPr>
    <w:rPr>
      <w:rFonts w:ascii="Arial" w:cs="Arial" w:eastAsia="Arial" w:hAnsi="Arial"/>
      <w:b/>
      <w:bCs/>
      <w:color w:val="0B1F3A"/>
      <w:sz w:val="40"/>
      <w:szCs w:val="40"/>
    </w:rPr>
  </w:style>
  <w:style w:type="paragraph" w:styleId="Heading2">
    <w:name w:val="Heading 2"/>
    <w:basedOn w:val="Normal"/>
    <w:next w:val="Normal"/>
    <w:qFormat/>
    <w:pPr>
      <w:spacing w:after="140" w:before="300"/>
      <w:outlineLvl w:val="1"/>
    </w:pPr>
    <w:rPr>
      <w:rFonts w:ascii="Arial" w:cs="Arial" w:eastAsia="Arial" w:hAnsi="Arial"/>
      <w:b/>
      <w:bCs/>
      <w:color w:val="0B1F3A"/>
      <w:sz w:val="30"/>
      <w:szCs w:val="3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2026-05-23T10:56:27.343Z</dcterms:created>
  <dcterms:modified xsi:type="dcterms:W3CDTF">2026-05-23T10:56:27.343Z</dcterms:modified>
</cp:coreProperties>
</file>

<file path=docProps/custom.xml><?xml version="1.0" encoding="utf-8"?>
<Properties xmlns="http://schemas.openxmlformats.org/officeDocument/2006/custom-properties" xmlns:vt="http://schemas.openxmlformats.org/officeDocument/2006/docPropsVTypes"/>
</file>