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ICO? UK Definition | ClickMasters
META DESC: ICO explained. The ICO (Information Commissioner's Office) is the UK's independent authority set up to uphold information rig...
SLUG: /glossary/ico-definition/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ICO?</w:t>
      </w:r>
    </w:p>
    <w:p>
      <w:pPr>
        <w:spacing w:after="60" w:before="60"/>
      </w:pPr>
    </w:p>
    <w:p>
      <w:pPr>
        <w:pStyle w:val="Heading1"/>
        <w:spacing w:after="160" w:before="360"/>
      </w:pPr>
      <w:r>
        <w:rPr>
          <w:rFonts w:ascii="Arial" w:cs="Arial" w:eastAsia="Arial" w:hAnsi="Arial"/>
          <w:b/>
          <w:bCs/>
          <w:color w:val="0B1F3A"/>
          <w:sz w:val="40"/>
          <w:szCs w:val="40"/>
        </w:rPr>
        <w:t xml:space="preserve">What is ICO?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ICO (Information Commissioner's Office) is the UK's independent authority set up to uphold information rights in the public interest, promoting openness by public bodies and data privacy for individuals. The ICO enforces UK GDPR, the Data Protection Act 2018, the Privacy and Electronic Communications Regulations (PECR), and the Network and Information Systems (NIS) Regulations. The ICO can issue fines of up to £17.5 million or 4% of global annual turnover for serious breaches.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ICO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ICO is the regulatory authority that every UK software business handling personal data must understand. Key ICO interactions for software businesses: ICO registration (mandatory for data controllers in the UK — annual fee of £52–£2,900 depending on organisation size), data breach notification (personal data breaches must be reported to the ICO within 72 hours of becoming aware), DSAR responses (the ICO receives complaints about organisations that fail to respond to Subject Access Requests), and cookie consent enforcement (the ICO has published specific guidance on cookie consent design and has enforcement powers). ClickMasters builds UK GDPR compliance into all software to minimise ICO enforcement risk for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UK GDPR: </w:t>
      </w:r>
      <w:r>
        <w:rPr>
          <w:rFonts w:ascii="Arial" w:cs="Arial" w:eastAsia="Arial" w:hAnsi="Arial"/>
          <w:b w:val="false"/>
          <w:bCs w:val="false"/>
          <w:i w:val="false"/>
          <w:iCs w:val="false"/>
          <w:color w:val="1A2332"/>
          <w:sz w:val="22"/>
          <w:szCs w:val="22"/>
        </w:rPr>
        <w:t xml:space="preserve">The regulation the ICO enforces.</w:t>
      </w:r>
    </w:p>
    <w:p>
      <w:pPr>
        <w:spacing w:after="160" w:before="100"/>
      </w:pPr>
      <w:r>
        <w:rPr>
          <w:rFonts w:ascii="Arial" w:cs="Arial" w:eastAsia="Arial" w:hAnsi="Arial"/>
          <w:b/>
          <w:bCs/>
          <w:i w:val="false"/>
          <w:iCs w:val="false"/>
          <w:color w:val="0B1F3A"/>
          <w:sz w:val="22"/>
          <w:szCs w:val="22"/>
        </w:rPr>
        <w:t xml:space="preserve">Data Breach Notification: </w:t>
      </w:r>
      <w:r>
        <w:rPr>
          <w:rFonts w:ascii="Arial" w:cs="Arial" w:eastAsia="Arial" w:hAnsi="Arial"/>
          <w:b w:val="false"/>
          <w:bCs w:val="false"/>
          <w:i w:val="false"/>
          <w:iCs w:val="false"/>
          <w:color w:val="1A2332"/>
          <w:sz w:val="22"/>
          <w:szCs w:val="22"/>
        </w:rPr>
        <w:t xml:space="preserve">72-hour reporting requirement to ICO.</w:t>
      </w:r>
    </w:p>
    <w:p>
      <w:pPr>
        <w:spacing w:after="160" w:before="100"/>
      </w:pPr>
      <w:r>
        <w:rPr>
          <w:rFonts w:ascii="Arial" w:cs="Arial" w:eastAsia="Arial" w:hAnsi="Arial"/>
          <w:b/>
          <w:bCs/>
          <w:i w:val="false"/>
          <w:iCs w:val="false"/>
          <w:color w:val="0B1F3A"/>
          <w:sz w:val="22"/>
          <w:szCs w:val="22"/>
        </w:rPr>
        <w:t xml:space="preserve">DSAR: </w:t>
      </w:r>
      <w:r>
        <w:rPr>
          <w:rFonts w:ascii="Arial" w:cs="Arial" w:eastAsia="Arial" w:hAnsi="Arial"/>
          <w:b w:val="false"/>
          <w:bCs w:val="false"/>
          <w:i w:val="false"/>
          <w:iCs w:val="false"/>
          <w:color w:val="1A2332"/>
          <w:sz w:val="22"/>
          <w:szCs w:val="22"/>
        </w:rPr>
        <w:t xml:space="preserve">Data Subject Access Request — ICO adjudicates complaints about non-compliance.</w:t>
      </w:r>
    </w:p>
    <w:p>
      <w:pPr>
        <w:spacing w:after="160" w:before="100"/>
      </w:pPr>
      <w:r>
        <w:rPr>
          <w:rFonts w:ascii="Arial" w:cs="Arial" w:eastAsia="Arial" w:hAnsi="Arial"/>
          <w:b/>
          <w:bCs/>
          <w:i w:val="false"/>
          <w:iCs w:val="false"/>
          <w:color w:val="0B1F3A"/>
          <w:sz w:val="22"/>
          <w:szCs w:val="22"/>
        </w:rPr>
        <w:t xml:space="preserve">PECR: </w:t>
      </w:r>
      <w:r>
        <w:rPr>
          <w:rFonts w:ascii="Arial" w:cs="Arial" w:eastAsia="Arial" w:hAnsi="Arial"/>
          <w:b w:val="false"/>
          <w:bCs w:val="false"/>
          <w:i w:val="false"/>
          <w:iCs w:val="false"/>
          <w:color w:val="1A2332"/>
          <w:sz w:val="22"/>
          <w:szCs w:val="22"/>
        </w:rPr>
        <w:t xml:space="preserve">Privacy and Electronic Communications Regulations — also enforced by ICO.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color w:val="1A4A8A"/>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ICO</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the ico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2026-05-23T11:19:13.525Z</dcterms:created>
  <dcterms:modified xsi:type="dcterms:W3CDTF">2026-05-23T11:19:13.525Z</dcterms:modified>
</cp:coreProperties>
</file>

<file path=docProps/custom.xml><?xml version="1.0" encoding="utf-8"?>
<Properties xmlns="http://schemas.openxmlformats.org/officeDocument/2006/custom-properties" xmlns:vt="http://schemas.openxmlformats.org/officeDocument/2006/docPropsVTypes"/>
</file>