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Belfast | ClickMasters
META DESC: FinTech software development in Belfast. FCA. £35,000–£200,000+. UK-based.
SLUG: /fintech-software-development-belfast/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Belfast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Belfast</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Belfast — FCA,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Belfast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Belfast and Northern Ireland with FCA,  UK GDPR compliance built in.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Belfast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Belfast has emerged as a significant technology hub — particularly for software engineering services, cybersecurity, and financial technology. Investment from US tech companies (Allstate, Liberty Mutual, CME Group) has driven a deep engineering talent pool at competitive rates.</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Belfast has a unique UK-Ireland position — access to both UK FCA regulation and EU single market via the Windsor Framework. US financial services companies (CME Group, Citi, and Goldman Sachs all have Belfast technology operations) have created a deep FinTech talent pool. Rates are typically 25–35%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FCA and EU regulatory dual knowledge — unique UK-Ireland context.</w:t>
      </w:r>
    </w:p>
    <w:p>
      <w:pPr>
        <w:pStyle w:val="ListParagraph"/>
        <w:numPr>
          <w:ilvl w:val="0"/>
          <w:numId w:val="2"/>
        </w:numPr>
        <w:spacing w:after="60" w:before="60"/>
      </w:pPr>
      <w:r>
        <w:rPr>
          <w:rFonts w:ascii="Arial" w:cs="Arial" w:eastAsia="Arial" w:hAnsi="Arial"/>
          <w:color w:val="1A2332"/>
          <w:sz w:val="22"/>
          <w:szCs w:val="22"/>
        </w:rPr>
        <w:t xml:space="preserve">US FinTech integration expertise — CME, Citi, Goldman Sachs Belfast connections.</w:t>
      </w:r>
    </w:p>
    <w:p>
      <w:pPr>
        <w:pStyle w:val="ListParagraph"/>
        <w:numPr>
          <w:ilvl w:val="0"/>
          <w:numId w:val="2"/>
        </w:numPr>
        <w:spacing w:after="60" w:before="60"/>
      </w:pPr>
      <w:r>
        <w:rPr>
          <w:rFonts w:ascii="Arial" w:cs="Arial" w:eastAsia="Arial" w:hAnsi="Arial"/>
          <w:color w:val="1A2332"/>
          <w:sz w:val="22"/>
          <w:szCs w:val="22"/>
        </w:rPr>
        <w:t xml:space="preserve">Belfast rates 25–35% below London — strong value.</w:t>
      </w:r>
    </w:p>
    <w:p>
      <w:pPr>
        <w:pStyle w:val="ListParagraph"/>
        <w:numPr>
          <w:ilvl w:val="0"/>
          <w:numId w:val="2"/>
        </w:numPr>
        <w:spacing w:after="60" w:before="60"/>
      </w:pPr>
      <w:r>
        <w:rPr>
          <w:rFonts w:ascii="Arial" w:cs="Arial" w:eastAsia="Arial" w:hAnsi="Arial"/>
          <w:color w:val="1A2332"/>
          <w:sz w:val="22"/>
          <w:szCs w:val="22"/>
        </w:rPr>
        <w:t xml:space="preserve">Invest Northern Ireland: R&amp;D grants and innovation support available.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UK GDPR, ICO,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Belfast's UK-Ireland position matter for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post-Brexit, Northern Ireland occupies a unique regulatory position. Windsor Framework means NI businesses have access to both UK and EU single market. For FinTech: FCA-regulated UK operations alongside potential EU passporting considerations.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Belfast tech talent market like?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Belfast has a deep engineering talent pool — shaped by US investment in financial and technology services. Rates are 25–35% below London for comparable seniority.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Custom Software Development Belfast: /custom-software-development-belfast/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Consultation — Belfast</w:t>
            </w:r>
          </w:p>
          <w:p>
            <w:pPr>
              <w:spacing w:after="160" w:before="0"/>
            </w:pPr>
            <w:r>
              <w:rPr>
                <w:rFonts w:ascii="Arial" w:cs="Arial" w:eastAsia="Arial" w:hAnsi="Arial"/>
                <w:color w:val="BDD0E8"/>
                <w:sz w:val="22"/>
                <w:szCs w:val="22"/>
              </w:rPr>
              <w:t xml:space="preserve">45 minutes with a senior FinTech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Belfast FinTech Team</w:t>
            </w:r>
          </w:p>
          <w:p>
            <w:pPr>
              <w:spacing w:after="80" w:before="0"/>
            </w:pPr>
            <w:r>
              <w:rPr>
                <w:rFonts w:ascii="Arial" w:cs="Arial" w:eastAsia="Arial" w:hAnsi="Arial"/>
                <w:b/>
                <w:bCs/>
                <w:color w:val="E8612A"/>
                <w:sz w:val="20"/>
                <w:szCs w:val="20"/>
              </w:rPr>
              <w:t xml:space="preserve">FinTech software specialists</w:t>
            </w:r>
          </w:p>
          <w:p>
            <w:pPr>
              <w:spacing w:after="0" w:before="0"/>
            </w:pPr>
            <w:r>
              <w:rPr>
                <w:rFonts w:ascii="Arial" w:cs="Arial" w:eastAsia="Arial" w:hAnsi="Arial"/>
                <w:color w:val="1A2332"/>
                <w:sz w:val="20"/>
                <w:szCs w:val="20"/>
              </w:rPr>
              <w:t xml:space="preserve">Delivering FinTech software for Belfast and Northern Ireland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belfast" (~60/mo)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2026-05-24T06:41:44.605Z</dcterms:created>
  <dcterms:modified xsi:type="dcterms:W3CDTF">2026-05-24T06:41:44.605Z</dcterms:modified>
</cp:coreProperties>
</file>

<file path=docProps/custom.xml><?xml version="1.0" encoding="utf-8"?>
<Properties xmlns="http://schemas.openxmlformats.org/officeDocument/2006/custom-properties" xmlns:vt="http://schemas.openxmlformats.org/officeDocument/2006/docPropsVTypes"/>
</file>