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Microservices Architecture for FinTech UK | ClickMasters
META DESC: Microservices Architecture for UK FinTech. FCA PS21/3. £40,000–£200,000.
SLUG: /fintech-microservices-architecture/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FinTech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FinTech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Microservices Architecture for FinTech</w:t>
      </w:r>
    </w:p>
    <w:p>
      <w:pPr>
        <w:spacing w:after="60" w:before="60"/>
      </w:pPr>
    </w:p>
    <w:p>
      <w:pPr>
        <w:pStyle w:val="Heading1"/>
        <w:spacing w:after="160" w:before="360"/>
      </w:pPr>
      <w:r>
        <w:rPr>
          <w:rFonts w:ascii="Arial" w:cs="Arial" w:eastAsia="Arial" w:hAnsi="Arial"/>
          <w:b/>
          <w:bCs/>
          <w:color w:val="0B1F3A"/>
          <w:sz w:val="40"/>
          <w:szCs w:val="40"/>
        </w:rPr>
        <w:t xml:space="preserve">Microservices Architecture for UK FinTech — FCA PS21/3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FinTech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FCA PS21/3</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£40,000–£200,000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Microservices Architecture for UK FinTech businesses with FCA PS21/3,  FCA Consumer Duty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Microservices Architecture for FinTech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FCA PS21/3 Operational Resilience and Microservices: </w:t>
      </w:r>
      <w:r>
        <w:rPr>
          <w:rFonts w:ascii="Arial" w:cs="Arial" w:eastAsia="Arial" w:hAnsi="Arial"/>
          <w:b w:val="false"/>
          <w:bCs w:val="false"/>
          <w:i w:val="false"/>
          <w:iCs w:val="false"/>
          <w:color w:val="1A2332"/>
          <w:sz w:val="22"/>
          <w:szCs w:val="22"/>
        </w:rPr>
        <w:t xml:space="preserve">FCA Operational Resilience (PS21/3) requires firms to set Impact Tolerances for Important Business Services (IBS) and test that they can remain within those tolerances during severe but plausible disruption. Microservices architecture should map each IBS to specific services: payment processing → payment microservice SLAs, account access → identity and account services. Each microservice must have defined SLAs that support the IBS Impact Tolerance.</w:t>
      </w:r>
    </w:p>
    <w:p>
      <w:pPr>
        <w:spacing w:after="60" w:before="60"/>
      </w:pPr>
    </w:p>
    <w:p>
      <w:pPr>
        <w:spacing w:after="160" w:before="100"/>
      </w:pPr>
      <w:r>
        <w:rPr>
          <w:rFonts w:ascii="Arial" w:cs="Arial" w:eastAsia="Arial" w:hAnsi="Arial"/>
          <w:b/>
          <w:bCs/>
          <w:i w:val="false"/>
          <w:iCs w:val="false"/>
          <w:color w:val="E8612A"/>
          <w:sz w:val="22"/>
          <w:szCs w:val="22"/>
        </w:rPr>
        <w:t xml:space="preserve">Circuit Breakers for FCA Operational Resilience Evidence: </w:t>
      </w:r>
      <w:r>
        <w:rPr>
          <w:rFonts w:ascii="Arial" w:cs="Arial" w:eastAsia="Arial" w:hAnsi="Arial"/>
          <w:b w:val="false"/>
          <w:bCs w:val="false"/>
          <w:i w:val="false"/>
          <w:iCs w:val="false"/>
          <w:color w:val="1A2332"/>
          <w:sz w:val="22"/>
          <w:szCs w:val="22"/>
        </w:rPr>
        <w:t xml:space="preserve">Microservices without circuit breakers can cause cascading failures — one slow service causes all dependent services to queue and fail. Circuit breaker pattern (Resilience4j for Java, opossum for Node.js): when downstream calls fail above threshold, the circuit opens and fast-fails requests, preventing cascade. FCA PS21/3 operational resilience testing: circuit breakers are direct evidence of fault isolation capability.</w:t>
      </w:r>
    </w:p>
    <w:p>
      <w:pPr>
        <w:spacing w:after="60" w:before="60"/>
      </w:pPr>
    </w:p>
    <w:p>
      <w:pPr>
        <w:spacing w:after="160" w:before="100"/>
      </w:pPr>
      <w:r>
        <w:rPr>
          <w:rFonts w:ascii="Arial" w:cs="Arial" w:eastAsia="Arial" w:hAnsi="Arial"/>
          <w:b/>
          <w:bCs/>
          <w:i w:val="false"/>
          <w:iCs w:val="false"/>
          <w:color w:val="E8612A"/>
          <w:sz w:val="22"/>
          <w:szCs w:val="22"/>
        </w:rPr>
        <w:t xml:space="preserve">Distributed Transactions in FinTech Microservices: </w:t>
      </w:r>
      <w:r>
        <w:rPr>
          <w:rFonts w:ascii="Arial" w:cs="Arial" w:eastAsia="Arial" w:hAnsi="Arial"/>
          <w:b w:val="false"/>
          <w:bCs w:val="false"/>
          <w:i w:val="false"/>
          <w:iCs w:val="false"/>
          <w:color w:val="1A2332"/>
          <w:sz w:val="22"/>
          <w:szCs w:val="22"/>
        </w:rPr>
        <w:t xml:space="preserve">FinTech microservices frequently need distributed transactions: debit from account A AND credit to account B must both succeed or both fail. Options: Saga pattern (choreography or orchestration) — each service publishes events and compensating transactions roll back on failure. Two-phase commit (2PC) — avoid for microservices (too slow). ClickMasters uses Saga orchestration for FinTech payment flows — the orchestrator has the full audit trail required for FCA transaction reporting.</w:t>
      </w:r>
    </w:p>
    <w:p>
      <w:pPr>
        <w:spacing w:after="60" w:before="60"/>
      </w:pPr>
    </w:p>
    <w:p>
      <w:pPr>
        <w:spacing w:after="160" w:before="100"/>
      </w:pPr>
      <w:r>
        <w:rPr>
          <w:rFonts w:ascii="Arial" w:cs="Arial" w:eastAsia="Arial" w:hAnsi="Arial"/>
          <w:b/>
          <w:bCs/>
          <w:i w:val="false"/>
          <w:iCs w:val="false"/>
          <w:color w:val="E8612A"/>
          <w:sz w:val="22"/>
          <w:szCs w:val="22"/>
        </w:rPr>
        <w:t xml:space="preserve">PCI-DSS Scope in FinTech Microservices: </w:t>
      </w:r>
      <w:r>
        <w:rPr>
          <w:rFonts w:ascii="Arial" w:cs="Arial" w:eastAsia="Arial" w:hAnsi="Arial"/>
          <w:b w:val="false"/>
          <w:bCs w:val="false"/>
          <w:i w:val="false"/>
          <w:iCs w:val="false"/>
          <w:color w:val="1A2332"/>
          <w:sz w:val="22"/>
          <w:szCs w:val="22"/>
        </w:rPr>
        <w:t xml:space="preserve">PCI-DSS scoping in microservices: only services that process, store, or transmit cardholder data are in-scope. Design principle: minimise scope by isolating cardholder data to a dedicated payment microservice using hosted payment fields (Stripe Elements/Adyen Drop-in). All other microservices communicate with the payment service via tokens — cardholder data never touches out-of-scope services.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FCA PS21/3, FCA Consumer Duty, PSD2, UK GDPR, Cyber Essentials, PCI-DSS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FinTech Microservices Architecture</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Support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FCA PS21/3 affect microservices architecture decisions?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FCA PS21/3 Impact Tolerances drive microservices design: each Important Business Service maps to specific microservices, and those services' SLAs must support the IBS tolerance. Design implications: redundant service deployment (minimum 2 instances per critical service), circuit breakers to prevent cascade, health check endpoints per service for monitoring, and chaos engineering tests to validate resilience claims.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handle UK GDPR right to erasure in FinTech microservices?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Pattern: a dedicated PII Erasure Service orchestrates erasure across all data stores. Each microservice registers its personal data stores with the Erasure Service. On erasure request: Erasure Service broadcasts ErasureRequested event, each service implements its own erasure handler (delete/anonymise), and confirms completion. The Erasure Service maintains a compliance audit trail with per-service completion timestamps. FCA consideration: some FinTech transaction data must be retained for 5–7 years under Money Laundering Regulations — erasure applies to non-mandatory personal data fields only.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FinTech Software Development UK: /fintech-software-development/</w:t>
      </w:r>
    </w:p>
    <w:p>
      <w:pPr>
        <w:pStyle w:val="ListParagraph"/>
        <w:numPr>
          <w:ilvl w:val="0"/>
          <w:numId w:val="2"/>
        </w:numPr>
        <w:spacing w:after="60" w:before="60"/>
      </w:pPr>
      <w:r>
        <w:rPr>
          <w:rFonts w:ascii="Arial" w:cs="Arial" w:eastAsia="Arial" w:hAnsi="Arial"/>
          <w:color w:val="1A4A8A"/>
          <w:sz w:val="22"/>
          <w:szCs w:val="22"/>
        </w:rPr>
        <w:t xml:space="preserve">Microservices Architecture UK: /microservices-architecture/</w:t>
      </w:r>
    </w:p>
    <w:p>
      <w:pPr>
        <w:pStyle w:val="ListParagraph"/>
        <w:numPr>
          <w:ilvl w:val="0"/>
          <w:numId w:val="2"/>
        </w:numPr>
        <w:spacing w:after="60" w:before="60"/>
      </w:pPr>
      <w:r>
        <w:rPr>
          <w:rFonts w:ascii="Arial" w:cs="Arial" w:eastAsia="Arial" w:hAnsi="Arial"/>
          <w:color w:val="1A4A8A"/>
          <w:sz w:val="22"/>
          <w:szCs w:val="22"/>
        </w:rPr>
        <w:t xml:space="preserve">FCA Software Compliance Guide: /fca-software-compliance-guide/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FinTech Microservices Architecture — Free Consultation</w:t>
            </w:r>
          </w:p>
          <w:p>
            <w:pPr>
              <w:spacing w:after="160" w:before="0"/>
            </w:pPr>
            <w:r>
              <w:rPr>
                <w:rFonts w:ascii="Arial" w:cs="Arial" w:eastAsia="Arial" w:hAnsi="Arial"/>
                <w:color w:val="BDD0E8"/>
                <w:sz w:val="22"/>
                <w:szCs w:val="22"/>
              </w:rPr>
              <w:t xml:space="preserve">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FinTech Team</w:t>
            </w:r>
          </w:p>
          <w:p>
            <w:pPr>
              <w:spacing w:after="80" w:before="0"/>
            </w:pPr>
            <w:r>
              <w:rPr>
                <w:rFonts w:ascii="Arial" w:cs="Arial" w:eastAsia="Arial" w:hAnsi="Arial"/>
                <w:b/>
                <w:bCs/>
                <w:color w:val="E8612A"/>
                <w:sz w:val="20"/>
                <w:szCs w:val="20"/>
              </w:rPr>
              <w:t xml:space="preserve">FinTech specialists</w:t>
            </w:r>
          </w:p>
          <w:p>
            <w:pPr>
              <w:spacing w:after="0" w:before="0"/>
            </w:pPr>
            <w:r>
              <w:rPr>
                <w:rFonts w:ascii="Arial" w:cs="Arial" w:eastAsia="Arial" w:hAnsi="Arial"/>
                <w:color w:val="1A2332"/>
                <w:sz w:val="20"/>
                <w:szCs w:val="20"/>
              </w:rPr>
              <w:t xml:space="preserve">Delivering Microservices Architecture for UK FinTech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"fintech microservices architecture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2026-05-26T08:23:48.568Z</dcterms:created>
  <dcterms:modified xsi:type="dcterms:W3CDTF">2026-05-26T08:23:48.568Z</dcterms:modified>
</cp:coreProperties>
</file>

<file path=docProps/custom.xml><?xml version="1.0" encoding="utf-8"?>
<Properties xmlns="http://schemas.openxmlformats.org/officeDocument/2006/custom-properties" xmlns:vt="http://schemas.openxmlformats.org/officeDocument/2006/docPropsVTypes"/>
</file>