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Cloud-Native Development for EdTech UK | ClickMasters
META DESC: Cloud-Native Development for UK EdTech. ICO AADC. £20,000–£120,000.
SLUG: /edtech-cloud-native-development/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9 min  |  Written by: ClickMasters EdTech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EdTech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Cloud-Native Development for EdTech</w:t>
      </w:r>
    </w:p>
    <w:p>
      <w:pPr>
        <w:spacing w:after="60" w:before="60"/>
      </w:pPr>
    </w:p>
    <w:p>
      <w:pPr>
        <w:pStyle w:val="Heading1"/>
        <w:spacing w:after="160" w:before="360"/>
      </w:pPr>
      <w:r>
        <w:rPr>
          <w:rFonts w:ascii="Arial" w:cs="Arial" w:eastAsia="Arial" w:hAnsi="Arial"/>
          <w:b/>
          <w:bCs/>
          <w:color w:val="0B1F3A"/>
          <w:sz w:val="40"/>
          <w:szCs w:val="40"/>
        </w:rPr>
        <w:t xml:space="preserve">Cloud-Native Development for UK EdTech — ICO AADC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EdTech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ICO AADC</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£20,000–£120,000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Cloud-Native Development for UK EdTech businesses with ICO AADC,  UK GDPR Art 9 (SEND)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Cloud-Native Development for EdTech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ICO AADC Cloud Architecture for EdTech: </w:t>
      </w:r>
      <w:r>
        <w:rPr>
          <w:rFonts w:ascii="Arial" w:cs="Arial" w:eastAsia="Arial" w:hAnsi="Arial"/>
          <w:b w:val="false"/>
          <w:bCs w:val="false"/>
          <w:i w:val="false"/>
          <w:iCs w:val="false"/>
          <w:color w:val="1A2332"/>
          <w:sz w:val="22"/>
          <w:szCs w:val="22"/>
        </w:rPr>
        <w:t xml:space="preserve">ICO Age Appropriate Design Code standard 5 (data minimisation) and standard 2 (best interests of the child) translate directly into cloud architecture. EdTech cloud principles: no analytics tracking without consent, EU data residency for UK school data (AWS eu-west-2), and access controls ensuring only authorised teachers see pupil data. Multi-tenancy: each school is a separate tenant — PostgreSQL RLS ensures one school's pupil data is never accessible to another school's teachers.</w:t>
      </w:r>
    </w:p>
    <w:p>
      <w:pPr>
        <w:spacing w:after="60" w:before="60"/>
      </w:pPr>
    </w:p>
    <w:p>
      <w:pPr>
        <w:spacing w:after="160" w:before="100"/>
      </w:pPr>
      <w:r>
        <w:rPr>
          <w:rFonts w:ascii="Arial" w:cs="Arial" w:eastAsia="Arial" w:hAnsi="Arial"/>
          <w:b/>
          <w:bCs/>
          <w:i w:val="false"/>
          <w:iCs w:val="false"/>
          <w:color w:val="E8612A"/>
          <w:sz w:val="22"/>
          <w:szCs w:val="22"/>
        </w:rPr>
        <w:t xml:space="preserve">School Network Infrastructure and EdTech Cloud: </w:t>
      </w:r>
      <w:r>
        <w:rPr>
          <w:rFonts w:ascii="Arial" w:cs="Arial" w:eastAsia="Arial" w:hAnsi="Arial"/>
          <w:b w:val="false"/>
          <w:bCs w:val="false"/>
          <w:i w:val="false"/>
          <w:iCs w:val="false"/>
          <w:color w:val="1A2332"/>
          <w:sz w:val="22"/>
          <w:szCs w:val="22"/>
        </w:rPr>
        <w:t xml:space="preserve">UK schools have specific network infrastructure: DFE Broadband Connect (many schools on JANET/DFE-funded connections), LGFL (London Grid for Learning — London school network), and various county council networks. EdTech cloud architecture must: work on school network bandwidth (not data-heavy — lazy load images, code splitting), function behind school content filters (no blocked CDNs or domains), and comply with school proxy configurations (some schools use SSL inspection — self-signed cert issues).</w:t>
      </w:r>
    </w:p>
    <w:p>
      <w:pPr>
        <w:spacing w:after="60" w:before="60"/>
      </w:pPr>
    </w:p>
    <w:p>
      <w:pPr>
        <w:spacing w:after="160" w:before="100"/>
      </w:pPr>
      <w:r>
        <w:rPr>
          <w:rFonts w:ascii="Arial" w:cs="Arial" w:eastAsia="Arial" w:hAnsi="Arial"/>
          <w:b/>
          <w:bCs/>
          <w:i w:val="false"/>
          <w:iCs w:val="false"/>
          <w:color w:val="E8612A"/>
          <w:sz w:val="22"/>
          <w:szCs w:val="22"/>
        </w:rPr>
        <w:t xml:space="preserve">EdTech Platform Resilience During Exam Periods: </w:t>
      </w:r>
      <w:r>
        <w:rPr>
          <w:rFonts w:ascii="Arial" w:cs="Arial" w:eastAsia="Arial" w:hAnsi="Arial"/>
          <w:b w:val="false"/>
          <w:bCs w:val="false"/>
          <w:i w:val="false"/>
          <w:iCs w:val="false"/>
          <w:color w:val="1A2332"/>
          <w:sz w:val="22"/>
          <w:szCs w:val="22"/>
        </w:rPr>
        <w:t xml:space="preserve">UK exam periods create extreme EdTech traffic spikes: GCSE/A-Level season (May–June), school year start (September — new cohorts), and assessment windows. Cloud architecture: ECS Fargate auto-scaling (scale up in minutes, not hours), CloudFront CDN (offload static assets — 80% of requests), ElastiCache session store (stateless application servers — scale horizontally), and database read replicas (separate read traffic from write traffic during peak).</w:t>
      </w:r>
    </w:p>
    <w:p>
      <w:pPr>
        <w:spacing w:after="60" w:before="60"/>
      </w:pPr>
    </w:p>
    <w:p>
      <w:pPr>
        <w:spacing w:after="160" w:before="100"/>
      </w:pPr>
      <w:r>
        <w:rPr>
          <w:rFonts w:ascii="Arial" w:cs="Arial" w:eastAsia="Arial" w:hAnsi="Arial"/>
          <w:b/>
          <w:bCs/>
          <w:i w:val="false"/>
          <w:iCs w:val="false"/>
          <w:color w:val="E8612A"/>
          <w:sz w:val="22"/>
          <w:szCs w:val="22"/>
        </w:rPr>
        <w:t xml:space="preserve">EdTech Data Lake for Learning Analytics: </w:t>
      </w:r>
      <w:r>
        <w:rPr>
          <w:rFonts w:ascii="Arial" w:cs="Arial" w:eastAsia="Arial" w:hAnsi="Arial"/>
          <w:b w:val="false"/>
          <w:bCs w:val="false"/>
          <w:i w:val="false"/>
          <w:iCs w:val="false"/>
          <w:color w:val="1A2332"/>
          <w:sz w:val="22"/>
          <w:szCs w:val="22"/>
        </w:rPr>
        <w:t xml:space="preserve">UK schools increasingly require learning analytics. EdTech data lake architecture: Kinesis Firehose (event streaming — assignment submitted, video watched, quiz attempted), S3 data lake (raw events, partitioned by school and date), AWS Glue (ETL — transform events to analytics-ready format), and Amazon Athena (SQL queries on S3 for teacher dashboard and DfE reporting). UK GDPR: individual pupil analytics only visible to that school's authorised teachers — not cross-school.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ICO AADC, UK GDPR Art 9 (SEND), DfE standards, Cyber Essentials, school MIS APIs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EdTech Cloud-Native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£20,000–£120,000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AWS architecture should EdTech SaaS use for UK schools?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UK EdTech SaaS AWS architecture: ECS Fargate (auto-scaling, no EC2 patching obligation — Cyber Essentials), CloudFront (CDN for static assets — fast on school broadband), ElastiCache Redis (sessions — AADC standard 13: authentication), RDS Aurora PostgreSQL (pupil data with RLS), S3 (learning materials), Kinesis (analytics event stream), and all in AWS eu-west-2 (UK GDPR data residency for UK school pupil data). DfE school network compatibility tested on JANET and LGFL.</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EdTech SaaS need NHS-equivalent compliance?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No — EdTech compliance is ICO AADC (Children's Code), not NHS DTAC. The ICO AADC applies to any product that is likely to be accessed by children. Compliance approach: Privacy Impact Assessment (PIA), privacy by design architecture, WCAG 2.1 AA (PSBAR if publicly funded), school data processing agreement (DPA with each school), and DfE compliance if integrating with DfE APIs. Cyber Essentials is expected by most school procurement processes.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EdTech Software Development UK: /edtech-software-development/</w:t>
      </w: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pStyle w:val="ListParagraph"/>
        <w:numPr>
          <w:ilvl w:val="0"/>
          <w:numId w:val="2"/>
        </w:numPr>
        <w:spacing w:after="60" w:before="60"/>
      </w:pPr>
      <w:r>
        <w:rPr>
          <w:rFonts w:ascii="Arial" w:cs="Arial" w:eastAsia="Arial" w:hAnsi="Arial"/>
          <w:color w:val="1A4A8A"/>
          <w:sz w:val="22"/>
          <w:szCs w:val="22"/>
        </w:rPr>
        <w:t xml:space="preserve">ICO AADC Children Code Guide: /ico-aadc-childrens-code-guide/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EdTech Cloud-Native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EdTech Team</w:t>
            </w:r>
          </w:p>
          <w:p>
            <w:pPr>
              <w:spacing w:after="80" w:before="0"/>
            </w:pPr>
            <w:r>
              <w:rPr>
                <w:rFonts w:ascii="Arial" w:cs="Arial" w:eastAsia="Arial" w:hAnsi="Arial"/>
                <w:b/>
                <w:bCs/>
                <w:color w:val="E8612A"/>
                <w:sz w:val="20"/>
                <w:szCs w:val="20"/>
              </w:rPr>
              <w:t xml:space="preserve">EdTech specialists</w:t>
            </w:r>
          </w:p>
          <w:p>
            <w:pPr>
              <w:spacing w:after="0" w:before="0"/>
            </w:pPr>
            <w:r>
              <w:rPr>
                <w:rFonts w:ascii="Arial" w:cs="Arial" w:eastAsia="Arial" w:hAnsi="Arial"/>
                <w:color w:val="1A2332"/>
                <w:sz w:val="20"/>
                <w:szCs w:val="20"/>
              </w:rPr>
              <w:t xml:space="preserve">Delivering Cloud-Native Development for UK EdTech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"edtech cloud native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2026-05-29T08:16:23.621Z</dcterms:created>
  <dcterms:modified xsi:type="dcterms:W3CDTF">2026-05-29T08:16:23.621Z</dcterms:modified>
</cp:coreProperties>
</file>

<file path=docProps/custom.xml><?xml version="1.0" encoding="utf-8"?>
<Properties xmlns="http://schemas.openxmlformats.org/officeDocument/2006/custom-properties" xmlns:vt="http://schemas.openxmlformats.org/officeDocument/2006/docPropsVTypes"/>
</file>