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Sarajevo | UK Agency | ClickMasters
META DESC: Custom software for Sarajevo. UK-based agency. £12,000–£200,000+.
SLUG: /custom-software-development-sarajevo/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Sarajevo</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Sarajevo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Sarajevo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Bosnia and Herzegovina / Western Balkans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Sarajevo and Bosnia and Herzegovina / Western Balkans. Data protection requirements addressed. £12,000–£200,000+.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Sarajevo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Sarajevo is the capital of Bosnia and Herzegovina and a growing technology services hub in the Western Balkans — with competitive rates, a growing base of software development companies, and strong engineering talent from the University of Sarajevo. Bosnia is an EU candidate country, working towards membership. Sarajevo has particular strength in enterprise software and digital agency work.</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Devoteam Sarajevo, Atlantbh (software development — Bosnia's largest IT company), AS Result Group, KING ICT Sarajevo, Asseco SEE Sarajevo, UNDP Digital Transformation Programme Sarajevo, Microblink Sarajevo (AI-powered data extraction), InfoStud (job platform technology)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Bosnia and Herzegovina is not EU — UK GDPR international transfer requires IDTA (International Data Transfer Agreement) or SCCs with UK addendum. Bosnia does not have a UK adequacy decision. The Personal Data Protection Agency (AZLP) oversees data protection in Bosnia. EU candidate status (since 2022) means data protection law is aligning towards GDPR. ClickMasters ensures IDTA in place before any personal data processing with Sarajevo-based engagements. Rates 55–70% below Western Europe — among programme's most competitive.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remote delivery experience.</w:t>
      </w:r>
    </w:p>
    <w:p>
      <w:pPr>
        <w:pStyle w:val="ListParagraph"/>
        <w:numPr>
          <w:ilvl w:val="0"/>
          <w:numId w:val="2"/>
        </w:numPr>
        <w:spacing w:after="60" w:before="60"/>
      </w:pPr>
      <w:r>
        <w:rPr>
          <w:rFonts w:ascii="Arial" w:cs="Arial" w:eastAsia="Arial" w:hAnsi="Arial"/>
          <w:color w:val="1A2332"/>
          <w:sz w:val="22"/>
          <w:szCs w:val="22"/>
        </w:rPr>
        <w:t xml:space="preserve">Data protection requirements addressed upfront.</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Sarajevo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periodic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Data transfer requirements confirmed before any personal data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International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Sarajevo</w:t>
            </w:r>
          </w:p>
          <w:p>
            <w:pPr>
              <w:spacing w:after="160" w:before="0"/>
            </w:pPr>
            <w:r>
              <w:rPr>
                <w:rFonts w:ascii="Arial" w:cs="Arial" w:eastAsia="Arial" w:hAnsi="Arial"/>
                <w:color w:val="BDD0E8"/>
                <w:sz w:val="22"/>
                <w:szCs w:val="22"/>
              </w:rPr>
              <w:t xml:space="preserve">Data protection addressed from day one.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businesses across the globe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sarajevo"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2026-06-05T11:54:14.043Z</dcterms:created>
  <dcterms:modified xsi:type="dcterms:W3CDTF">2026-06-05T11:54:14.043Z</dcterms:modified>
</cp:coreProperties>
</file>

<file path=docProps/custom.xml><?xml version="1.0" encoding="utf-8"?>
<Properties xmlns="http://schemas.openxmlformats.org/officeDocument/2006/custom-properties" xmlns:vt="http://schemas.openxmlformats.org/officeDocument/2006/docPropsVTypes"/>
</file>