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Casablanca | UK Agency | ClickMasters
META DESC: Custom software for Casablanca. UK-based agency. UK GDPR addressed.
SLUG: /custom-software-development-casablanca/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Casablanca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Casablanca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Casablanca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Morocco / North Africa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Casablanca businesses. UK GDPR international transfer requirements addressed. £12,000–£200,000+.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Casablanca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Casablanca is Morocco's economic capital and the largest city in North Africa — home to a rapidly growing technology and outsourcing sector. The Casa Finance City (CFC) is a major African financial hub, and Morocco's proximity to Europe (1 hour from Malaga), French/English bilingualism, and competitive rates make Casablanca increasingly attractive for UK technology companies. The Casablanca Tech City (CTC) free zone attracts technology investment.</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Capgemini Maroc Casablanca (large development centre), CGI Casablanca, Accenture Casablanca, Teleperformance Casablanca, SQLI Digital Experience Casablanca, Intelcia Group HQ, Webhelp Casablanca (BPO/technology), Casa Finance City Technology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international transfer: Morocco does not have UK adequacy. Data transfers to Morocco require UK IDTA (International Data Transfer Agreement) or SCCs with UK addendum. Morocco's Commission Nationale de Contrôle de la Protection des Données à Caractère Personnel (CNDP) oversees local data protection (Law 09-08). ClickMasters establishes IDTA before any personal data processing with Casablanca-based engagements. Rates 60–70% below Western Europe. UTC+1 (winter), UTC+1 (summer) — very convenient for UK business hours.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remote delivery experience.</w:t>
      </w:r>
    </w:p>
    <w:p>
      <w:pPr>
        <w:pStyle w:val="ListParagraph"/>
        <w:numPr>
          <w:ilvl w:val="0"/>
          <w:numId w:val="2"/>
        </w:numPr>
        <w:spacing w:after="60" w:before="60"/>
      </w:pPr>
      <w:r>
        <w:rPr>
          <w:rFonts w:ascii="Arial" w:cs="Arial" w:eastAsia="Arial" w:hAnsi="Arial"/>
          <w:color w:val="1A2332"/>
          <w:sz w:val="22"/>
          <w:szCs w:val="22"/>
        </w:rPr>
        <w:t xml:space="preserve">UK GDPR international transfer requirements confirmed upfront.</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Casablanca?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periodic visits. UK GDPR transfer confirmed before processing.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established before any personal data is processed.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International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Casablanca</w:t>
            </w:r>
          </w:p>
          <w:p>
            <w:pPr>
              <w:spacing w:after="160" w:before="0"/>
            </w:pPr>
            <w:r>
              <w:rPr>
                <w:rFonts w:ascii="Arial" w:cs="Arial" w:eastAsia="Arial" w:hAnsi="Arial"/>
                <w:color w:val="BDD0E8"/>
                <w:sz w:val="22"/>
                <w:szCs w:val="22"/>
              </w:rPr>
              <w:t xml:space="preserve">UK GDPR handled upfront.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in ${city}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casablanca"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2026-06-05T12:10:18.957Z</dcterms:created>
  <dcterms:modified xsi:type="dcterms:W3CDTF">2026-06-05T12:10:18.957Z</dcterms:modified>
</cp:coreProperties>
</file>

<file path=docProps/custom.xml><?xml version="1.0" encoding="utf-8"?>
<Properties xmlns="http://schemas.openxmlformats.org/officeDocument/2006/custom-properties" xmlns:vt="http://schemas.openxmlformats.org/officeDocument/2006/docPropsVTypes"/>
</file>