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Seoul | UK Agency | ClickMasters
META DESC: Custom software for Seoul. UK-based agency. UK GDPR addressed.
SLUG: /custom-software-development-seoul/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Seoul</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Seoul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Seoul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South Korea / Asia Pacific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Seoul businesses. Data protection requirements addressed upfront. £12,000–£200,000+.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Seoul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Seoul is South Korea's capital and one of Asia's most advanced technology hubs — home to Samsung and LG electronics giants, Kakao (messaging and fintech platform), Naver (Korea's Google equivalent), Krafton (gaming — PUBG), and a world-class startup ecosystem (Gangnam-gu Startup Hub). South Korea has among the world's highest broadband penetration and a highly educated engineering workforce. ClickMasters serves Korean businesses seeking UK and European market entry.</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Samsung Electronics HQ Seoul, LG Electronics HQ Seoul, Kakao Corp HQ (messaging, fintech, mobility), Naver Corp HQ (search, fintech, webtoon), SK Telecom Technology Seoul, Krafton HQ (PUBG — battle royale gaming), Coupang Technology Seoul (e-commerce — South Korea's Amazon), Krafton, KakaoBank HQ (digital bank), Toss (FinTech unicorn)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international transfer: South Korea received UK adequacy in December 2022 (first adequacy decision under UK GDPR post-Brexit). UK-South Korea data transfers are permitted without SCCs or additional safeguards. South Korea's PIPA (Personal Information Protection Act) is considered adequate. Invoicing in KRW, USD, or GBP available. South Korea's tech giants (Samsung, LG, Kakao, Naver) create exceptional engineering talent density. Timezone: KST (UTC+9) — ClickMasters uses asynchronous delivery with overlap hours.</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international transfer requirements addressed.</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Seoul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periodic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confirmed before personal data processing begins.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International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Seoul</w:t>
            </w:r>
          </w:p>
          <w:p>
            <w:pPr>
              <w:spacing w:after="160" w:before="0"/>
            </w:pPr>
            <w:r>
              <w:rPr>
                <w:rFonts w:ascii="Arial" w:cs="Arial" w:eastAsia="Arial" w:hAnsi="Arial"/>
                <w:color w:val="BDD0E8"/>
                <w:sz w:val="22"/>
                <w:szCs w:val="22"/>
              </w:rPr>
              <w:t xml:space="preserve">Data protection handled from day one.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in ${city} and beyond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seoul"</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2026-06-05T16:23:24.106Z</dcterms:created>
  <dcterms:modified xsi:type="dcterms:W3CDTF">2026-06-05T16:23:24.106Z</dcterms:modified>
</cp:coreProperties>
</file>

<file path=docProps/custom.xml><?xml version="1.0" encoding="utf-8"?>
<Properties xmlns="http://schemas.openxmlformats.org/officeDocument/2006/custom-properties" xmlns:vt="http://schemas.openxmlformats.org/officeDocument/2006/docPropsVTypes"/>
</file>