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Geneva | UK Agency | ClickMasters
META DESC: Custom software for Geneva. EU GDPR. UK-based.
SLUG: /custom-software-development-geneva/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Geneva</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Geneva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Geneva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Switzerland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Geneva and Switzerland with EU GDPR compliance. Swiss FDPIC (Federal Data Protection and Information Commissioner)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Geneva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Geneva is Switzerland's international city — home to the United Nations, WHO, CERN, and a significant FinTech and WealthTech sector. Geneva's unique international character creates demand for multilingual software, compliance with international regulations, and sophisticated financial software. English is widely used alongside French.</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CERN IT (particle physics computing), WHO Digital Transformation, UN OICT (IT centre), Pictet Group Technology, Lombard Odier Technology, Geneva Trading HQ, SIX Group Technology (Swiss stock exchange), Temenos International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Switzerland is not EU — Swiss nFADP applies. UK GDPR transfers to Switzerland covered by UK adequacy. Geneva has French language requirements for some software localisation. CERN and UN create unique procurement requirements (international organisation standards). CHF/EUR invoicing available.</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Geneva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Geneva</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geneva"</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2026-05-28T08:51:40.173Z</dcterms:created>
  <dcterms:modified xsi:type="dcterms:W3CDTF">2026-05-28T08:51:40.174Z</dcterms:modified>
</cp:coreProperties>
</file>

<file path=docProps/custom.xml><?xml version="1.0" encoding="utf-8"?>
<Properties xmlns="http://schemas.openxmlformats.org/officeDocument/2006/custom-properties" xmlns:vt="http://schemas.openxmlformats.org/officeDocument/2006/docPropsVTypes"/>
</file>