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AI Software Development Guide UK (2025) | ClickMasters
META DESC: Building AI applications in the UK. LLM integration, RAG, UK GDPR AI, ICO AI guidance, FCA AI, NHS AI. ClickMasters builds regulated AI for UK businesses.
SLUG: /ai-software-development-guide-uk/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12 min  |  Written by: James Whitmore, CTO  |  Reviewed by: ClickMasters AI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AI Software Development Guide UK</w:t>
      </w:r>
    </w:p>
    <w:p>
      <w:pPr>
        <w:spacing w:after="60" w:before="60"/>
      </w:pPr>
    </w:p>
    <w:p>
      <w:pPr>
        <w:pStyle w:val="Heading1"/>
        <w:spacing w:after="160" w:before="360"/>
      </w:pPr>
      <w:r>
        <w:rPr>
          <w:rFonts w:ascii="Arial" w:cs="Arial" w:eastAsia="Arial" w:hAnsi="Arial"/>
          <w:b/>
          <w:bCs/>
          <w:color w:val="0B1F3A"/>
          <w:sz w:val="40"/>
          <w:szCs w:val="40"/>
        </w:rPr>
        <w:t xml:space="preserve">AI Software Development — UK Regulatory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LLM Integration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ICO AI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 AI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AI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Building AI applications in the UK requires compliance with: ICO guidance on AI and data protection (UK GDPR Article 22 for automated decisions), FCA PS7/24 (AI in regulated financial services), NHS DSPT standard 4 (AI in health data), and the EU AI Act (if your product is distributed in the EU). ClickMasters builds regulated AI applications for UK FinTech, HealthTech, LegalTech, and enterprise — all with UK GDPR compliance from Sprint 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AI Regulatory Landscape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Regulation</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Applies To</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Requirements</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Effective Date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AI Guidance</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UK business using AI to process personal data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Transparency, fairness, Article 22 automated decisions, DPIAs for high-risk AI</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 — ICO enforcing actively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PS7/24 AI in Finance</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FCA-regulated firms using AI in regulated activities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governance framework, explainability for automated decisions, Consumer Duty AI Consumer Understanding</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2024 — ongoing supervisory focus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DSPT Standard 4</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and NHS-contracted organisations using AI with health data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system registration, algorithm transparency, clinical safety (DCB0129), governance</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 — DTAC includes AI systems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EU AI Act</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businesses whose AI products are used in the EU</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AI systems: conformity assessment, CE marking equivalent, technical documentation</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August 2026 (high-risk AI)</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Equality Act 2010</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systems making decisions about individuals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must not discriminate on protected characteristics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Now — existing law, AI context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AI White Paper</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businesses building AI (voluntary framework)</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Safety, transparency, accountability, fairness, contestability</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Voluntary — but CMA/ICO aligning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Article 22 — Automated Decision-Making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Article 22 UK GDPR: individuals have the right not to be subject to decisions based solely on automated processing that produce significant legal or similarly significant effects. Applies to: automated credit scoring, automated insurance pricing, automated recruitment screening, AI medical diagnosis without human review.</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Right to human review: if your AI makes a significant decision automatically (loan approval, insurance premium, clinical diagnosis), you must provide a right to request human review.</w:t>
      </w:r>
    </w:p>
    <w:p>
      <w:pPr>
        <w:pStyle w:val="ListParagraph"/>
        <w:numPr>
          <w:ilvl w:val="0"/>
          <w:numId w:val="2"/>
        </w:numPr>
        <w:spacing w:after="60" w:before="60"/>
      </w:pPr>
      <w:r>
        <w:rPr>
          <w:rFonts w:ascii="Arial" w:cs="Arial" w:eastAsia="Arial" w:hAnsi="Arial"/>
          <w:color w:val="1A2332"/>
          <w:sz w:val="22"/>
          <w:szCs w:val="22"/>
        </w:rPr>
        <w:t xml:space="preserve">Right to explanation: individuals have the right to an explanation of automated decisions that significantly affect them — the "black box" defence is not permitted under UK GDPR.</w:t>
      </w:r>
    </w:p>
    <w:p>
      <w:pPr>
        <w:pStyle w:val="ListParagraph"/>
        <w:numPr>
          <w:ilvl w:val="0"/>
          <w:numId w:val="2"/>
        </w:numPr>
        <w:spacing w:after="60" w:before="60"/>
      </w:pPr>
      <w:r>
        <w:rPr>
          <w:rFonts w:ascii="Arial" w:cs="Arial" w:eastAsia="Arial" w:hAnsi="Arial"/>
          <w:color w:val="1A2332"/>
          <w:sz w:val="22"/>
          <w:szCs w:val="22"/>
        </w:rPr>
        <w:t xml:space="preserve">DPIA required: automated decision-making with significant effects requires a Data Protection Impact Assessment (DPIA) before deployment.</w:t>
      </w:r>
    </w:p>
    <w:p>
      <w:pPr>
        <w:pStyle w:val="ListParagraph"/>
        <w:numPr>
          <w:ilvl w:val="0"/>
          <w:numId w:val="2"/>
        </w:numPr>
        <w:spacing w:after="60" w:before="60"/>
      </w:pPr>
      <w:r>
        <w:rPr>
          <w:rFonts w:ascii="Arial" w:cs="Arial" w:eastAsia="Arial" w:hAnsi="Arial"/>
          <w:color w:val="1A2332"/>
          <w:sz w:val="22"/>
          <w:szCs w:val="22"/>
        </w:rPr>
        <w:t xml:space="preserve">Meaningful human oversight: "human in the loop" must be genuine — not rubber-stamping. FCA supervision: FCA expects human reviewers to have genuine capacity to override AI decisions.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Building RAG (Retrieval Augmented Generation) for UK Business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RAG is the standard architecture for UK business AI applications: embed a private knowledge base, retrieve relevant context, augment LLM prompts. UK GDPR implications: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RAG Component</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 Consideration</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Approach</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Document ingestion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documents → UK GDPR processing activity. Legal basis required.</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Identify and tag personal data in document corpus. Separate processing from non-personal knowledge base.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Vector embeddings</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Embeddings may reconstruct original personal data. UK GDPR Article 25.</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 UK GDPR-compliant embedding API. Consider pseudonymisation before embedding personal data.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Retrieval (similarity search)</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Retrieved chunks may surface personal data without appropriate access control.</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RBAC on retrieval — user can only retrieve documents they have permission to access.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LLM generation</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Prompt may contain personal data → LLM processes personal data. Article 28 DPA required.</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DPA with AI API provider. EU data residency. No training on customer data (confirm with API provider).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Generated output</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may hallucinate personal data about real individuals.</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Output filtering for PII. Human review before displaying AI-generated content about individuals.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ICO AI Auditing — What to Expect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ICO has published AI auditing frameworks and is actively auditing UK organisations using AI for high-risk processing. ICO AI audit focus areas: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Transparency: are users told they are being subject to AI-assisted decisions? Privacy notice must mention AI processing.</w:t>
      </w:r>
    </w:p>
    <w:p>
      <w:pPr>
        <w:pStyle w:val="ListParagraph"/>
        <w:numPr>
          <w:ilvl w:val="0"/>
          <w:numId w:val="2"/>
        </w:numPr>
        <w:spacing w:after="60" w:before="60"/>
      </w:pPr>
      <w:r>
        <w:rPr>
          <w:rFonts w:ascii="Arial" w:cs="Arial" w:eastAsia="Arial" w:hAnsi="Arial"/>
          <w:color w:val="1A2332"/>
          <w:sz w:val="22"/>
          <w:szCs w:val="22"/>
        </w:rPr>
        <w:t xml:space="preserve">Fairness: is the AI producing biased outcomes by protected characteristic? ICO expects bias testing evidence.</w:t>
      </w:r>
    </w:p>
    <w:p>
      <w:pPr>
        <w:pStyle w:val="ListParagraph"/>
        <w:numPr>
          <w:ilvl w:val="0"/>
          <w:numId w:val="2"/>
        </w:numPr>
        <w:spacing w:after="60" w:before="60"/>
      </w:pPr>
      <w:r>
        <w:rPr>
          <w:rFonts w:ascii="Arial" w:cs="Arial" w:eastAsia="Arial" w:hAnsi="Arial"/>
          <w:color w:val="1A2332"/>
          <w:sz w:val="22"/>
          <w:szCs w:val="22"/>
        </w:rPr>
        <w:t xml:space="preserve">Accuracy: is AI output accurate and up to date? Stale training data can violate Article 5(1)(d) accuracy principle.</w:t>
      </w:r>
    </w:p>
    <w:p>
      <w:pPr>
        <w:pStyle w:val="ListParagraph"/>
        <w:numPr>
          <w:ilvl w:val="0"/>
          <w:numId w:val="2"/>
        </w:numPr>
        <w:spacing w:after="60" w:before="60"/>
      </w:pPr>
      <w:r>
        <w:rPr>
          <w:rFonts w:ascii="Arial" w:cs="Arial" w:eastAsia="Arial" w:hAnsi="Arial"/>
          <w:color w:val="1A2332"/>
          <w:sz w:val="22"/>
          <w:szCs w:val="22"/>
        </w:rPr>
        <w:t xml:space="preserve">DPIA: for high-risk AI (automated significant decisions, large-scale processing of special category data), DPIA is mandatory.</w:t>
      </w:r>
    </w:p>
    <w:p>
      <w:pPr>
        <w:pStyle w:val="ListParagraph"/>
        <w:numPr>
          <w:ilvl w:val="0"/>
          <w:numId w:val="2"/>
        </w:numPr>
        <w:spacing w:after="60" w:before="60"/>
      </w:pPr>
      <w:r>
        <w:rPr>
          <w:rFonts w:ascii="Arial" w:cs="Arial" w:eastAsia="Arial" w:hAnsi="Arial"/>
          <w:color w:val="1A2332"/>
          <w:sz w:val="22"/>
          <w:szCs w:val="22"/>
        </w:rPr>
        <w:t xml:space="preserve">Data minimisation: AI should not be trained on more personal data than necessary. Article 25 data minimisation applies to AI training.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GDPR allow automated AI credit decisioning?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with safeguards. FCA CONC permits automated credit scoring, provided: the individual is informed that automated processing is involved (Article 13/14 UK GDPR), they have a right to request human review of the decision (Article 22), they can contest the decision, and an explanation can be provided. ClickMasters implements all four safeguards as standard in automated credit decisioning systems. FCA expects firms to monitor automated decisions for fair outcomes — Consumer Duty applies to AI-generated credit decisions.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the EU AI Act mean for UK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EU AI Act (effective August 2024 for prohibited AI, August 2026 for high-risk AI systems) applies to UK businesses whose AI products are placed on the EU market or whose AI outputs affect EU individuals. High-risk AI categories relevant to UK businesses: AI in credit scoring, AI in recruitment, AI in critical infrastructure, AI in healthcare, and AI in education. UK businesses distributing high-risk AI in the EU must comply with EU AI Act conformity assessment requirements from August 2026. ClickMasters designs UK AI products with EU AI Act alignment from the start.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AI Development UK: /ai-development/</w:t>
      </w: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HealthTech Software Development UK: /healthtech-software-development/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AI Architecture Review</w:t>
            </w:r>
          </w:p>
          <w:p>
            <w:pPr>
              <w:spacing w:after="160" w:before="0"/>
            </w:pPr>
            <w:r>
              <w:rPr>
                <w:rFonts w:ascii="Arial" w:cs="Arial" w:eastAsia="Arial" w:hAnsi="Arial"/>
                <w:color w:val="BDD0E8"/>
                <w:sz w:val="22"/>
                <w:szCs w:val="22"/>
              </w:rPr>
              <w:t xml:space="preserve">ClickMasters will review your AI application architecture and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AI regulatory and engineering specialist</w:t>
            </w:r>
          </w:p>
          <w:p>
            <w:pPr>
              <w:spacing w:after="0" w:before="0"/>
            </w:pPr>
            <w:r>
              <w:rPr>
                <w:rFonts w:ascii="Arial" w:cs="Arial" w:eastAsia="Arial" w:hAnsi="Arial"/>
                <w:color w:val="1A2332"/>
                <w:sz w:val="20"/>
                <w:szCs w:val="20"/>
              </w:rPr>
              <w:t xml:space="preserve">ClickMasters has built regulated AI applications for UK FinTech, HealthTech, and LegalTech. All AI builds include UK GDPR DPIAs as standard.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"ai software development guide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2026-05-29T13:46:21.832Z</dcterms:created>
  <dcterms:modified xsi:type="dcterms:W3CDTF">2026-05-29T13:46:21.832Z</dcterms:modified>
</cp:coreProperties>
</file>

<file path=docProps/custom.xml><?xml version="1.0" encoding="utf-8"?>
<Properties xmlns="http://schemas.openxmlformats.org/officeDocument/2006/custom-properties" xmlns:vt="http://schemas.openxmlformats.org/officeDocument/2006/docPropsVTypes"/>
</file>