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API-First Design Guide UK (2025) | ClickMasters
META DESC: API-first software design for UK businesses. OpenAPI 3.0, design-first vs code-first, API versioning, UK GDPR compliance, FCA COBS API disclosure.
SLUG: /api-first-design-guide-uk/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11 min  |  Written by: James Whitmore, CTO  |  Reviewed by: ClickMasters API Team</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API-First Design Guide UK</w:t>
      </w:r>
    </w:p>
    <w:p>
      <w:pPr>
        <w:spacing w:after="60" w:before="60"/>
      </w:pPr>
    </w:p>
    <w:p>
      <w:pPr>
        <w:pStyle w:val="Heading1"/>
        <w:spacing w:after="160" w:before="360"/>
      </w:pPr>
      <w:r>
        <w:rPr>
          <w:rFonts w:ascii="Arial" w:cs="Arial" w:eastAsia="Arial" w:hAnsi="Arial"/>
          <w:b/>
          <w:bCs/>
          <w:color w:val="0B1F3A"/>
          <w:sz w:val="40"/>
          <w:szCs w:val="40"/>
        </w:rPr>
        <w:t xml:space="preserve">API-First Design — UK Engineering Guide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OpenAPI 3.0</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FCA COBS</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NHS FHIR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Free Review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API-first means designing your API before writing application code — defining the OpenAPI 3.0 specification as the contract between frontend and backend teams. For UK regulated software, API-first is not optional: FCA COBS requires machine-readable API disclosure (OpenAPI satisfies this), NHS DTAC Domain 4 requires a FHIR Capability Statement (OpenAPI equivalent), and GDS Service Standard requires APIs to be designed for reuse. ClickMasters is API-first on all projects.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Design-First vs Code-First — UK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226"/>
      </w:tblGrid>
      <w:tr>
        <w:trPr>
          <w:tblHeader/>
        </w:trPr>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Approach</w:t>
            </w:r>
          </w:p>
        </w:tc>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How It Works</w:t>
            </w:r>
          </w:p>
        </w:tc>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UK Advantages</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UK Disadvantages</w:t>
            </w:r>
          </w:p>
        </w:tc>
      </w:tr>
      <w:tr>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Design-first (API-first)</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Write OpenAPI spec → generate server stubs → implement logic</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COBS disclosure ready from Day 1, contract tests possible, parallel frontend/backend</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Additional upfront time (1–2 days)</w:t>
            </w:r>
          </w:p>
        </w:tc>
      </w:tr>
      <w:tr>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Code-first</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Write code → generate OpenAPI from annotations</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Faster initial start</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OpenAPI quality varies — may not satisfy FCA/GDS requirements</w:t>
            </w:r>
          </w:p>
        </w:tc>
      </w:tr>
      <w:tr>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approach</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Design-first on all UK projects</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NHS, GDS compliance built into API design, not retrofitted</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OpenAPI 3.0 — UK Regulatory Value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OpenAPI 3.0 (formerly Swagger) provides UK-specific compliance value beyond documentation: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Regulation</w:t>
            </w:r>
          </w:p>
        </w:tc>
        <w:tc>
          <w:tcPr>
            <w:tcW w:type="dxa" w:w="3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OpenAPI Value</w:t>
            </w:r>
          </w:p>
        </w:tc>
        <w:tc>
          <w:tcPr>
            <w:tcW w:type="dxa" w:w="3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How ClickMasters Implements</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COBS 4 (financial promotions)</w:t>
            </w:r>
          </w:p>
        </w:tc>
        <w:tc>
          <w:tcPr>
            <w:tcW w:type="dxa" w:w="3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Machine-readable API disclosure — inspector-auditable</w:t>
            </w:r>
          </w:p>
        </w:tc>
        <w:tc>
          <w:tcPr>
            <w:tcW w:type="dxa" w:w="3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OpenAPI spec version-controlled in Git, published at /api-docs</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DTAC Domain 4 (interoperability)</w:t>
            </w:r>
          </w:p>
        </w:tc>
        <w:tc>
          <w:tcPr>
            <w:tcW w:type="dxa" w:w="3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FHIR Capability Statement = OpenAPI equivalent</w:t>
            </w:r>
          </w:p>
        </w:tc>
        <w:tc>
          <w:tcPr>
            <w:tcW w:type="dxa" w:w="3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ClickMasters publishes FHIR CapabilityStatement (/metadata) + OpenAPI for non-FHIR APIs</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GDS Service Standard</w:t>
            </w:r>
          </w:p>
        </w:tc>
        <w:tc>
          <w:tcPr>
            <w:tcW w:type="dxa" w:w="3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API documentation must enable reuse by other services</w:t>
            </w:r>
          </w:p>
        </w:tc>
        <w:tc>
          <w:tcPr>
            <w:tcW w:type="dxa" w:w="3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OpenAPI spec published as part of GDS technical documentation</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ICO API transparency</w:t>
            </w:r>
          </w:p>
        </w:tc>
        <w:tc>
          <w:tcPr>
            <w:tcW w:type="dxa" w:w="3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Article 13/14 UK GDPR: data subjects informed what APIs exist that process their data</w:t>
            </w:r>
          </w:p>
        </w:tc>
        <w:tc>
          <w:tcPr>
            <w:tcW w:type="dxa" w:w="3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API inventory (from OpenAPI specs) fed into ROPA and privacy notice</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PCI-DSS SAQ-A</w:t>
            </w:r>
          </w:p>
        </w:tc>
        <w:tc>
          <w:tcPr>
            <w:tcW w:type="dxa" w:w="3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API boundary scope reduction — payment card data never in API</w:t>
            </w:r>
          </w:p>
        </w:tc>
        <w:tc>
          <w:tcPr>
            <w:tcW w:type="dxa" w:w="3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OpenAPI spec shows payment endpoints use Stripe Elements redirect (no card data in spec)</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API Versioning — UK Best Practice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API versioning is mandatory for UK external APIs that are consumed by third parties. Breaking change definition: removing a field, changing a field type, or changing authentication requirements. Non-breaking: adding optional fields, adding new endpoints.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026"/>
      </w:tblGrid>
      <w:tr>
        <w:trPr>
          <w:tblHeader/>
        </w:trPr>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Strategy</w:t>
            </w:r>
          </w:p>
        </w:tc>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How It Works</w:t>
            </w:r>
          </w:p>
        </w:tc>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UK Compliance Implications</w:t>
            </w:r>
          </w:p>
        </w:tc>
        <w:tc>
          <w:tcPr>
            <w:tcW w:type="dxa" w:w="2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Recommendation</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URL versioning (/v1/, /v2/)</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New major version = new URL path</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FCA: version in URL is auditable in access logs</w:t>
            </w:r>
          </w:p>
        </w:tc>
        <w:tc>
          <w:tcPr>
            <w:tcW w:type="dxa" w:w="2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Standard for all external UK APIs</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Header versioning</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API-Version: 2 header</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Harder to audit in URL logs — FCA prefers URL</w:t>
            </w:r>
          </w:p>
        </w:tc>
        <w:tc>
          <w:tcPr>
            <w:tcW w:type="dxa" w:w="2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recommended for FCA-regulated APIs</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No versioning (schema evolution)</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Only additive changes allowed ever</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Constrains product evolution — avoid for APIs</w:t>
            </w:r>
          </w:p>
        </w:tc>
        <w:tc>
          <w:tcPr>
            <w:tcW w:type="dxa" w:w="2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recommended for external APIs</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Date-based (/2024-01-01/)</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Stripe-style date versioning</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Clean audit trail</w:t>
            </w:r>
          </w:p>
        </w:tc>
        <w:tc>
          <w:tcPr>
            <w:tcW w:type="dxa" w:w="2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For high-volume public APIs only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Contract Testing for UK APIs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Contract testing verifies that API consumers (frontend, mobile apps, third-party integrations) and API providers (backend services) agree on the API contract. Particularly important for:</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NHS FHIR R4: FHIR provider contract tests verify UK Core profile compliance on every CI/CD run — breaking FHIR changes caught before deployment.</w:t>
      </w:r>
    </w:p>
    <w:p>
      <w:pPr>
        <w:pStyle w:val="ListParagraph"/>
        <w:numPr>
          <w:ilvl w:val="0"/>
          <w:numId w:val="2"/>
        </w:numPr>
        <w:spacing w:after="60" w:before="60"/>
      </w:pPr>
      <w:r>
        <w:rPr>
          <w:rFonts w:ascii="Arial" w:cs="Arial" w:eastAsia="Arial" w:hAnsi="Arial"/>
          <w:color w:val="1A2332"/>
          <w:sz w:val="22"/>
          <w:szCs w:val="22"/>
        </w:rPr>
        <w:t xml:space="preserve">FCA Open Banking: consumer-driven contract tests verify OBIE-standard API compliance — prevents breaking changes to payment APIs.</w:t>
      </w:r>
    </w:p>
    <w:p>
      <w:pPr>
        <w:pStyle w:val="ListParagraph"/>
        <w:numPr>
          <w:ilvl w:val="0"/>
          <w:numId w:val="2"/>
        </w:numPr>
        <w:spacing w:after="60" w:before="60"/>
      </w:pPr>
      <w:r>
        <w:rPr>
          <w:rFonts w:ascii="Arial" w:cs="Arial" w:eastAsia="Arial" w:hAnsi="Arial"/>
          <w:color w:val="1A2332"/>
          <w:sz w:val="22"/>
          <w:szCs w:val="22"/>
        </w:rPr>
        <w:t xml:space="preserve">GOV.UK API: contract tests verify GOV.UK Notify integration, GOV.UK Pay integration, and Companies House API continue to behave as expected.</w:t>
      </w:r>
    </w:p>
    <w:p>
      <w:pPr>
        <w:pStyle w:val="ListParagraph"/>
        <w:numPr>
          <w:ilvl w:val="0"/>
          <w:numId w:val="2"/>
        </w:numPr>
        <w:spacing w:after="60" w:before="60"/>
      </w:pPr>
      <w:r>
        <w:rPr>
          <w:rFonts w:ascii="Arial" w:cs="Arial" w:eastAsia="Arial" w:hAnsi="Arial"/>
          <w:color w:val="1A2332"/>
          <w:sz w:val="22"/>
          <w:szCs w:val="22"/>
        </w:rPr>
        <w:t xml:space="preserve">Multi-team development: contract tests allow frontend and backend teams to develop independently — the contract (OpenAPI spec) is the integration agreement.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the FCA require an API specification for financial services?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FCA does not require an OpenAPI specification by name. However: FCA COBS 4 (financial communications must be fair, clear and not misleading), FCA PS21/3 (Important Business Services must have documented technical architecture), and Open Banking OBIE standard (OpenAPI specifications mandatory for Open Banking APIs) collectively mean that any UK FinTech with external APIs should have OpenAPI specifications. FCA supervision: when the FCA requests technical documentation, an OpenAPI spec is the clearest technical disclosure.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an API-first Technical Discovery take?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API-first Technical Discovery: 2 weeks, £3,500–£8,000 fixed price. Deliverables: OpenAPI 3.0 specification (all endpoints, request/response schemas, authentication, error codes), data flow diagram (showing data subjects, processors, UK GDPR legal bases), API architecture decision records (ADRs), and a fixed-price proposal for the API build. The OpenAPI spec is yours regardless of whether you proceed with ClickMasters.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API Development UK: /api-development/</w:t>
      </w:r>
    </w:p>
    <w:p>
      <w:pPr>
        <w:pStyle w:val="ListParagraph"/>
        <w:numPr>
          <w:ilvl w:val="0"/>
          <w:numId w:val="3"/>
        </w:numPr>
        <w:spacing w:after="60" w:before="60"/>
      </w:pPr>
      <w:r>
        <w:rPr>
          <w:rFonts w:ascii="Arial" w:cs="Arial" w:eastAsia="Arial" w:hAnsi="Arial"/>
          <w:color w:val="1A4A8A"/>
          <w:sz w:val="22"/>
          <w:szCs w:val="22"/>
        </w:rPr>
        <w:t xml:space="preserve">REST vs GraphQL vs gRPC UK: /rest-vs-graphql-vs-grpc-api-design-uk/</w:t>
      </w:r>
    </w:p>
    <w:p>
      <w:pPr>
        <w:pStyle w:val="ListParagraph"/>
        <w:numPr>
          <w:ilvl w:val="0"/>
          <w:numId w:val="3"/>
        </w:numPr>
        <w:spacing w:after="60" w:before="60"/>
      </w:pPr>
      <w:r>
        <w:rPr>
          <w:rFonts w:ascii="Arial" w:cs="Arial" w:eastAsia="Arial" w:hAnsi="Arial"/>
          <w:color w:val="1A4A8A"/>
          <w:sz w:val="22"/>
          <w:szCs w:val="22"/>
        </w:rPr>
        <w:t xml:space="preserve">GraphQL vs REST API Guide UK: /graphql-vs-rest-api-guide-uk/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API Architecture Review</w:t>
            </w:r>
          </w:p>
          <w:p>
            <w:pPr>
              <w:spacing w:after="160" w:before="0"/>
            </w:pPr>
            <w:r>
              <w:rPr>
                <w:rFonts w:ascii="Arial" w:cs="Arial" w:eastAsia="Arial" w:hAnsi="Arial"/>
                <w:color w:val="BDD0E8"/>
                <w:sz w:val="22"/>
                <w:szCs w:val="22"/>
              </w:rPr>
              <w:t xml:space="preserve">ClickMasters will review your API design and confirm OpenAPI 3.0 best practice for UK regulatory compliance.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James Whitmore, CTO</w:t>
            </w:r>
          </w:p>
          <w:p>
            <w:pPr>
              <w:spacing w:after="80" w:before="0"/>
            </w:pPr>
            <w:r>
              <w:rPr>
                <w:rFonts w:ascii="Arial" w:cs="Arial" w:eastAsia="Arial" w:hAnsi="Arial"/>
                <w:b/>
                <w:bCs/>
                <w:color w:val="E8612A"/>
                <w:sz w:val="20"/>
                <w:szCs w:val="20"/>
              </w:rPr>
              <w:t xml:space="preserve">UK API architecture specialist</w:t>
            </w:r>
          </w:p>
          <w:p>
            <w:pPr>
              <w:spacing w:after="0" w:before="0"/>
            </w:pPr>
            <w:r>
              <w:rPr>
                <w:rFonts w:ascii="Arial" w:cs="Arial" w:eastAsia="Arial" w:hAnsi="Arial"/>
                <w:color w:val="1A2332"/>
                <w:sz w:val="20"/>
                <w:szCs w:val="20"/>
              </w:rPr>
              <w:t xml:space="preserve">ClickMasters is API-first on all projects. Every API ships with an OpenAPI 3.0 specification as standard.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"api first design guide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2026-05-29T13:55:11.887Z</dcterms:created>
  <dcterms:modified xsi:type="dcterms:W3CDTF">2026-05-29T13:55:11.887Z</dcterms:modified>
</cp:coreProperties>
</file>

<file path=docProps/custom.xml><?xml version="1.0" encoding="utf-8"?>
<Properties xmlns="http://schemas.openxmlformats.org/officeDocument/2006/custom-properties" xmlns:vt="http://schemas.openxmlformats.org/officeDocument/2006/docPropsVTypes"/>
</file>