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UK AI Governance Guide (2026) | ClickMasters
META DESC: AI governance for UK regulated software. FCA AI Consumer Duty, NHS DTAC AI Standard 4, MHRA SaMD AI, UK AI Act (incoming). Expert guide.
SLUG: /uk-ai-governance-guide/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February 2026  |  Reading time: 12 min  |  Written by: James Whitmore, CTO  |  Reviewed by: ClickMasters AI Governance Team</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Resources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UK AI Governance Guide</w:t>
      </w:r>
    </w:p>
    <w:p>
      <w:pPr>
        <w:spacing w:after="60" w:before="60"/>
      </w:pPr>
    </w:p>
    <w:p>
      <w:pPr>
        <w:pStyle w:val="Heading1"/>
        <w:spacing w:after="160" w:before="360"/>
      </w:pPr>
      <w:r>
        <w:rPr>
          <w:rFonts w:ascii="Arial" w:cs="Arial" w:eastAsia="Arial" w:hAnsi="Arial"/>
          <w:b/>
          <w:bCs/>
          <w:color w:val="0B1F3A"/>
          <w:sz w:val="40"/>
          <w:szCs w:val="40"/>
        </w:rPr>
        <w:t xml:space="preserve">UK AI Governance Guide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5"/>
        <w:gridCol w:w="1805"/>
        <w:gridCol w:w="1805"/>
        <w:gridCol w:w="1805"/>
        <w:gridCol w:w="1805"/>
      </w:tblGrid>
      <w:tr>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AI</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FCA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NHS DTAC</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MHRA</w:t>
            </w:r>
          </w:p>
        </w:tc>
        <w:tc>
          <w:tcPr>
            <w:tcW w:type="dxa" w:w="1805"/>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Free Assessment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UK AI governance in 2026 is regulated through existing frameworks — there is no standalone UK AI Act yet (UK Government published the AI Regulation Policy Paper 2023, but the UK has chosen a sector-led approach). For UK regulated AI: FCA Consumer Duty (AI must provide fair outcomes), NHS DTAC Standard 4 (AI governance evidence), MHRA SaMD (AI medical devices), and ICO guidance on AI and GDPR are the primary frameworks. ClickMasters has deployed AI in NHS clinical systems, FCA regulated FinTech, and LegalTech — compliant with all current UK AI governance requirements.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AI Governance Framework — By Regulated Sector</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400"/>
        <w:gridCol w:w="2800"/>
        <w:gridCol w:w="1826"/>
      </w:tblGrid>
      <w:tr>
        <w:trPr>
          <w:tblHeader/>
        </w:trPr>
        <w:tc>
          <w:tcPr>
            <w:tcW w:type="dxa" w:w="2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Sector</w:t>
            </w:r>
          </w:p>
        </w:tc>
        <w:tc>
          <w:tcPr>
            <w:tcW w:type="dxa" w:w="24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AI Governance Framework</w:t>
            </w:r>
          </w:p>
        </w:tc>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Key Requirements</w:t>
            </w:r>
          </w:p>
        </w:tc>
        <w:tc>
          <w:tcPr>
            <w:tcW w:type="dxa" w:w="18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ClickMasters Implementation</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NHS / MedTech (Clinical AI)</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SaMD classification + NHS AI Lab Evidence Standards + DCB0129</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Class IIa+: UKCA marking, Notified Body; 14 Evidence Standards; clinical safety hazard log</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MHRA DESH registration, 14 Evidence Standards documentation, DCB0129 AI hazard assessment</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FCA FinTech</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FCA Consumer Duty PS22/9 + FCA AI Discussion Paper DP5/22</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Fair outcomes from AI decisions; human oversight; explainability for consumer-facing AI</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Consumer Duty AI outcome monitoring, human review of adverse AI decisions, SHAP explainability</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GDS Government</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GDS Service Standard Point 10 + DSIT AI Guidelines</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Government AI transparency standard, public explainability, ministerial accountability</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Algorithmic Transparency Recording Standard (ATRS) for high-risk government AI</w:t>
            </w:r>
          </w:p>
        </w:tc>
      </w:tr>
      <w:tr>
        <w:tc>
          <w:tcPr>
            <w:tcW w:type="dxa" w:w="2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ICO (all sectors)</w:t>
            </w:r>
          </w:p>
        </w:tc>
        <w:tc>
          <w:tcPr>
            <w:tcW w:type="dxa" w:w="24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ICO Guidance on AI and Data Protection (2023)</w:t>
            </w:r>
          </w:p>
        </w:tc>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UK GDPR Article 22 (automated decisions), Article 13/14 transparency, bias testing</w:t>
            </w:r>
          </w:p>
        </w:tc>
        <w:tc>
          <w:tcPr>
            <w:tcW w:type="dxa" w:w="18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DPIA for AI systems, Article 22 exemption or safeguards, demographic bias testing report</w:t>
            </w:r>
          </w:p>
        </w:tc>
      </w:tr>
      <w:tr>
        <w:tc>
          <w:tcPr>
            <w:tcW w:type="dxa" w:w="2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SRA LegalTech</w:t>
            </w:r>
          </w:p>
        </w:tc>
        <w:tc>
          <w:tcPr>
            <w:tcW w:type="dxa" w:w="24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SRA Code 2019 + Law Society AI Guidance</w:t>
            </w:r>
          </w:p>
        </w:tc>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Human oversight of AI legal advice; AI disclaimer on generated content; PII protection</w:t>
            </w:r>
          </w:p>
        </w:tc>
        <w:tc>
          <w:tcPr>
            <w:tcW w:type="dxa" w:w="18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AI output marked as preliminary, partner review mandatory, audit trail of all AI decisions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UK GDPR and AI — Key Article 22 Requirements</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ICO Article 22 (automated individual decision-making): significant decisions about individuals cannot be made solely by automated processing without human involvement.</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What is a "significant decision"? ICO guidance: decisions that have a legal effect or similarly significant effect on individuals — credit scoring, insurance pricing, medical diagnosis, recruitment shortlisting. Consumer-facing AI decisions in FinTech, InsurTech, and HealthTech almost always qualify.</w:t>
      </w:r>
    </w:p>
    <w:p>
      <w:pPr>
        <w:pStyle w:val="ListParagraph"/>
        <w:numPr>
          <w:ilvl w:val="0"/>
          <w:numId w:val="2"/>
        </w:numPr>
        <w:spacing w:after="60" w:before="60"/>
      </w:pPr>
      <w:r>
        <w:rPr>
          <w:rFonts w:ascii="Arial" w:cs="Arial" w:eastAsia="Arial" w:hAnsi="Arial"/>
          <w:color w:val="1A2332"/>
          <w:sz w:val="22"/>
          <w:szCs w:val="22"/>
        </w:rPr>
        <w:t xml:space="preserve">Article 22 exemption: if the automated decision is necessary for a contract, authorised by law, or based on explicit consent — automated decisions are permitted but the data subject must have the right to obtain human review.</w:t>
      </w:r>
    </w:p>
    <w:p>
      <w:pPr>
        <w:pStyle w:val="ListParagraph"/>
        <w:numPr>
          <w:ilvl w:val="0"/>
          <w:numId w:val="2"/>
        </w:numPr>
        <w:spacing w:after="60" w:before="60"/>
      </w:pPr>
      <w:r>
        <w:rPr>
          <w:rFonts w:ascii="Arial" w:cs="Arial" w:eastAsia="Arial" w:hAnsi="Arial"/>
          <w:color w:val="1A2332"/>
          <w:sz w:val="22"/>
          <w:szCs w:val="22"/>
        </w:rPr>
        <w:t xml:space="preserve">ClickMasters implementation: every consumer-facing AI decision that could qualify as Article 22 has a "request human review" feature — FCA Consumer Duty also requires this for regulated financial decisions.</w:t>
      </w:r>
    </w:p>
    <w:p>
      <w:pPr>
        <w:pStyle w:val="ListParagraph"/>
        <w:numPr>
          <w:ilvl w:val="0"/>
          <w:numId w:val="2"/>
        </w:numPr>
        <w:spacing w:after="60" w:before="60"/>
      </w:pPr>
      <w:r>
        <w:rPr>
          <w:rFonts w:ascii="Arial" w:cs="Arial" w:eastAsia="Arial" w:hAnsi="Arial"/>
          <w:color w:val="1A2332"/>
          <w:sz w:val="22"/>
          <w:szCs w:val="22"/>
        </w:rPr>
        <w:t xml:space="preserve">Bias testing requirement: ICO guidance requires data controllers to regularly test AI systems for discriminatory outcomes across protected characteristics (age, sex, race, disability). ClickMasters conducts demographic parity testing on all consumer-facing AI.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AI Act: the UK Government has explicitly chosen NOT to adopt the EU AI Act — instead maintaining a sector-led approach (FCA for FinTech AI, NHS for clinical AI, ICO for data protection aspects of AI). This may change — ClickMasters monitors DSIT AI regulatory guidance for UK AI Act developments.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FCA Consumer Duty apply to AI-generated advice or recommendations?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FCA Consumer Duty PS22/9 applies to all consumer outcomes including those generated or influenced by AI. FCA expectations for consumer-facing AI: (1) AI must not produce outcomes that are unfair to consumers (e.g., AI that charges higher prices to certain demographics without justification), (2) AI recommendations must be suitable for the customer's circumstances (COBS suitability — AI cannot remove the suitability obligation), (3) consumers must be able to understand AI decisions (Consumer Duty "consumer understanding" outcome), (4) consumers must be able to challenge AI decisions (right to human review — Consumer Duty "consumer support" outcome). ClickMasters Consumer Duty AI checklist: human oversight mechanism, explainability, bias testing, complaint process.</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Does MHRA SaMD classification apply to AI features in non-medical software?</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MHRA SaMD classification applies to software (including AI features) that meets the definition of a medical device under the UK MDR 2002: software intended to be used for a medical purpose (diagnosis, prevention, monitoring, treatment of disease). Context matters: (1) general health app with step counter — not SaMD (wellness, not medical purpose), (2) app that recommends a specific medication dose — SaMD Class IIa or IIb (treatment of disease), (3) AI that screens radiology images for cancer — SaMD Class IIa or IIb (diagnosis). FCA FinTech AI: not SaMD unless it has a medical purpose. NHS administrative AI (appointment booking, waiting list management): not SaMD unless it makes clinical decisions. ClickMasters conducts MHRA SaMD classification assessment for all NHS and MedTech AI features.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MedTech Software Development UK: /medtech-software-development/</w:t>
      </w:r>
    </w:p>
    <w:p>
      <w:pPr>
        <w:pStyle w:val="ListParagraph"/>
        <w:numPr>
          <w:ilvl w:val="0"/>
          <w:numId w:val="3"/>
        </w:numPr>
        <w:spacing w:after="60" w:before="60"/>
      </w:pPr>
      <w:r>
        <w:rPr>
          <w:rFonts w:ascii="Arial" w:cs="Arial" w:eastAsia="Arial" w:hAnsi="Arial"/>
          <w:color w:val="1A4A8A"/>
          <w:sz w:val="22"/>
          <w:szCs w:val="22"/>
        </w:rPr>
        <w:t xml:space="preserve">FinTech Software Development UK: /fintech-software-development/</w:t>
      </w:r>
    </w:p>
    <w:p>
      <w:pPr>
        <w:pStyle w:val="ListParagraph"/>
        <w:numPr>
          <w:ilvl w:val="0"/>
          <w:numId w:val="3"/>
        </w:numPr>
        <w:spacing w:after="60" w:before="60"/>
      </w:pPr>
      <w:r>
        <w:rPr>
          <w:rFonts w:ascii="Arial" w:cs="Arial" w:eastAsia="Arial" w:hAnsi="Arial"/>
          <w:color w:val="1A4A8A"/>
          <w:sz w:val="22"/>
          <w:szCs w:val="22"/>
        </w:rPr>
        <w:t xml:space="preserve">UK Software Cybersecurity Guide: /uk-software-cybersecurity-guide/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AI Governance Assessment</w:t>
            </w:r>
          </w:p>
          <w:p>
            <w:pPr>
              <w:spacing w:after="160" w:before="0"/>
            </w:pPr>
            <w:r>
              <w:rPr>
                <w:rFonts w:ascii="Arial" w:cs="Arial" w:eastAsia="Arial" w:hAnsi="Arial"/>
                <w:color w:val="BDD0E8"/>
                <w:sz w:val="22"/>
                <w:szCs w:val="22"/>
              </w:rPr>
              <w:t xml:space="preserve">ClickMasters will assess your AI features against the applicable UK governance framework.</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James Whitmore, CTO</w:t>
            </w:r>
          </w:p>
          <w:p>
            <w:pPr>
              <w:spacing w:after="80" w:before="0"/>
            </w:pPr>
            <w:r>
              <w:rPr>
                <w:rFonts w:ascii="Arial" w:cs="Arial" w:eastAsia="Arial" w:hAnsi="Arial"/>
                <w:b/>
                <w:bCs/>
                <w:color w:val="E8612A"/>
                <w:sz w:val="20"/>
                <w:szCs w:val="20"/>
              </w:rPr>
              <w:t xml:space="preserve">UK AI governance specialist — MHRA SaMD, FCA Consumer Duty AI, NHS AI Lab</w:t>
            </w:r>
          </w:p>
          <w:p>
            <w:pPr>
              <w:spacing w:after="0" w:before="0"/>
            </w:pPr>
            <w:r>
              <w:rPr>
                <w:rFonts w:ascii="Arial" w:cs="Arial" w:eastAsia="Arial" w:hAnsi="Arial"/>
                <w:color w:val="1A2332"/>
                <w:sz w:val="20"/>
                <w:szCs w:val="20"/>
              </w:rPr>
              <w:t xml:space="preserve">ClickMasters has deployed AI in NHS clinical systems, FCA FinTech, and LegalTech. Compliant with all current UK AI governance frameworks.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FAQPage | "uk ai governance guide" (500/mo)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2026-06-05T06:26:13.029Z</dcterms:created>
  <dcterms:modified xsi:type="dcterms:W3CDTF">2026-06-05T06:26:13.029Z</dcterms:modified>
</cp:coreProperties>
</file>

<file path=docProps/custom.xml><?xml version="1.0" encoding="utf-8"?>
<Properties xmlns="http://schemas.openxmlformats.org/officeDocument/2006/custom-properties" xmlns:vt="http://schemas.openxmlformats.org/officeDocument/2006/docPropsVTypes"/>
</file>