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IR35 Guide for UK Software Development — Complete 2025 | ClickMasters
META DESC: IR35 for UK software development clients. Off-payroll rules, SDS, liability, how ClickMasters eliminates IR35 risk. Complete guide.
SLUG: /ir35-software-development-guide/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HR/Legal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IR35 Software Development Guide</w:t>
      </w:r>
    </w:p>
    <w:p>
      <w:pPr>
        <w:spacing w:after="60" w:before="60"/>
      </w:pPr>
    </w:p>
    <w:p>
      <w:pPr>
        <w:pStyle w:val="Heading1"/>
        <w:spacing w:after="160" w:before="360"/>
      </w:pPr>
      <w:r>
        <w:rPr>
          <w:rFonts w:ascii="Arial" w:cs="Arial" w:eastAsia="Arial" w:hAnsi="Arial"/>
          <w:b/>
          <w:bCs/>
          <w:color w:val="0B1F3A"/>
          <w:sz w:val="40"/>
          <w:szCs w:val="40"/>
        </w:rPr>
        <w:t xml:space="preserve">IR35 for UK Software Development — Complete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Off-Payroll</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HMRC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Client Liability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SDS Requirement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Option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IR35 (off-payroll working rules) makes medium and large UK businesses responsible for determining whether contractors working through personal service companies should be taxed as employees. Incorrect determinations result in income tax, NI, interest, and penalties falling on the client business. ClickMasters eliminates IR35 entirely — our engineers are our employees, not contractors.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Note: This guide reflects IR35 rules as they apply from April 2021 for medium and large businesses. Small companies (two or more of: turnover ≤ £10.2M, balance sheet ≤ £5.1M, ≤ 50 employees) are currently exempt from off-payroll obligations — contractors in small company engagements are responsible for their own IR35 determination.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IR35 Works — The Client's Obligation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Step</w:t>
            </w:r>
          </w:p>
        </w:tc>
        <w:tc>
          <w:tcPr>
            <w:tcW w:type="dxa" w:w="4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the Client Must Do</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Risk if Done Incorrectly</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 Determine worker status</w:t>
            </w:r>
          </w:p>
        </w:tc>
        <w:tc>
          <w:tcPr>
            <w:tcW w:type="dxa" w:w="4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Complete a Status Determination Statement (SDS) for each contractor</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may deem the determination negligent — client liable for tax</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2. Issue the SDS</w:t>
            </w:r>
          </w:p>
        </w:tc>
        <w:tc>
          <w:tcPr>
            <w:tcW w:type="dxa" w:w="4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Provide SDS to contractor and their intermediary</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Failure to provide SDS = client automatically liable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 Apply correct tax treatment</w:t>
            </w:r>
          </w:p>
        </w:tc>
        <w:tc>
          <w:tcPr>
            <w:tcW w:type="dxa" w:w="4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If inside IR35: deduct income tax + employee NI; pay employer NI</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Underpayment = HMRC debt, interest (3.25%), penalties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4. Maintain records</w:t>
            </w:r>
          </w:p>
        </w:tc>
        <w:tc>
          <w:tcPr>
            <w:tcW w:type="dxa" w:w="4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Keep SDS and supporting evidence for HMRC inspection</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can investigate up to 6 years back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Three IR35 Status Factors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HMRC's Check Employment Status for Tax (CEST) tool assesses three key factors. None alone is determinative — the overall picture matters: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Points towards Employment (Inside IR35)</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Points towards Self-Employment (Outside IR35)</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Control</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Client controls how the work is done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Worker decides how to do the work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Substitution</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Worker personally must do the work</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Worker can send a substitute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Mutuality of Obligation</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Client must offer and worker must accept work</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obligation on either side to offer/accept work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Risk in Software Development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Software contractors are among the highest-risk IR35 profiles — HMRC specifically targets software development because: contractors often work on the same project for months, use client equipment, take instructions from client managers, and cannot realistically send a substitute. Many "outside IR35" determinations for long-term embedded software contractors are vulnerable to HMRC challenge.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HMRC has collected over £1 billion from IR35 investigations in financial services alone. Software development is the second most investigated sector. The risk of an incorrect determination is real.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ClickMasters IR35 Solution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eliminates IR35 entirely through our employment model. ClickMasters engineers are ClickMasters employees — not contractors. You engage ClickMasters as a company (B2B service contract), not an individual. No IR35 consideration arises at all:</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 Status Determination Statement required.</w:t>
      </w:r>
    </w:p>
    <w:p>
      <w:pPr>
        <w:pStyle w:val="ListParagraph"/>
        <w:numPr>
          <w:ilvl w:val="0"/>
          <w:numId w:val="2"/>
        </w:numPr>
        <w:spacing w:after="60" w:before="60"/>
      </w:pPr>
      <w:r>
        <w:rPr>
          <w:rFonts w:ascii="Arial" w:cs="Arial" w:eastAsia="Arial" w:hAnsi="Arial"/>
          <w:color w:val="1A2332"/>
          <w:sz w:val="22"/>
          <w:szCs w:val="22"/>
        </w:rPr>
        <w:t xml:space="preserve">No employer NI calculation or payment.</w:t>
      </w:r>
    </w:p>
    <w:p>
      <w:pPr>
        <w:pStyle w:val="ListParagraph"/>
        <w:numPr>
          <w:ilvl w:val="0"/>
          <w:numId w:val="2"/>
        </w:numPr>
        <w:spacing w:after="60" w:before="60"/>
      </w:pPr>
      <w:r>
        <w:rPr>
          <w:rFonts w:ascii="Arial" w:cs="Arial" w:eastAsia="Arial" w:hAnsi="Arial"/>
          <w:color w:val="1A2332"/>
          <w:sz w:val="22"/>
          <w:szCs w:val="22"/>
        </w:rPr>
        <w:t xml:space="preserve">No PAYE obligation on client.</w:t>
      </w:r>
    </w:p>
    <w:p>
      <w:pPr>
        <w:pStyle w:val="ListParagraph"/>
        <w:numPr>
          <w:ilvl w:val="0"/>
          <w:numId w:val="2"/>
        </w:numPr>
        <w:spacing w:after="60" w:before="60"/>
      </w:pPr>
      <w:r>
        <w:rPr>
          <w:rFonts w:ascii="Arial" w:cs="Arial" w:eastAsia="Arial" w:hAnsi="Arial"/>
          <w:color w:val="1A2332"/>
          <w:sz w:val="22"/>
          <w:szCs w:val="22"/>
        </w:rPr>
        <w:t xml:space="preserve">No HMRC liability if the engagement later changes.</w:t>
      </w:r>
    </w:p>
    <w:p>
      <w:pPr>
        <w:pStyle w:val="ListParagraph"/>
        <w:numPr>
          <w:ilvl w:val="0"/>
          <w:numId w:val="2"/>
        </w:numPr>
        <w:spacing w:after="60" w:before="60"/>
      </w:pPr>
      <w:r>
        <w:rPr>
          <w:rFonts w:ascii="Arial" w:cs="Arial" w:eastAsia="Arial" w:hAnsi="Arial"/>
          <w:color w:val="1A2332"/>
          <w:sz w:val="22"/>
          <w:szCs w:val="22"/>
        </w:rPr>
        <w:t xml:space="preserve">One monthly invoice. Complete administrative simplicity.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Cost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26"/>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Scenario</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Rate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 (1 engineer, 21 days)</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liability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Outside IR35 contractor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£11,550</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Client responsible for SDS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Inside IR35 contractor (equivalent)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£650/day (grossed up)</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£13,650 + employer NI</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£1,889 employer NI per month</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staff augmentation</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 all-in</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Zero — engineers are employees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Status Determination Statement (SDS)?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An SDS is a written statement from the client business explaining its determination of whether a contractor engagement is inside or outside IR35. Medium and large businesses must provide an SDS to every contractor and their intermediary before the engagement starts. HMRC can request the SDS during an investigation — if it does not exist, the client is automatically liable for any underpaid tax.</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HMRC disagrees with our IR35 determination?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HMRC can challenge an IR35 determination up to 6 years after the tax year in question. If HMRC successfully argues the contractor was inside IR35: the client owes income tax (deducted from the contractor's gross rate), employer NI (13.8% of the contractor's earnings), employee NI (not recoverable from contractor if client failed to deduct), plus interest (3.25% p.a.) and potential penalties of up to 100% of unpaid tax.</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ClickMasters staff augmentation subject to IR35?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ClickMasters engineers are ClickMasters employees. You engage ClickMasters as a company under a B2B service contract. IR35 applies to contractors (individuals working through personal service companies). A B2B service contract with ClickMasters is not an engagement of a contractor or their intermediary — IR35 does not apply.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3"/>
        </w:numPr>
        <w:spacing w:after="60" w:before="60"/>
      </w:pPr>
      <w:r>
        <w:rPr>
          <w:rFonts w:ascii="Arial" w:cs="Arial" w:eastAsia="Arial" w:hAnsi="Arial"/>
          <w:color w:val="1A4A8A"/>
          <w:sz w:val="22"/>
          <w:szCs w:val="22"/>
        </w:rPr>
        <w:t xml:space="preserve">Agency vs Freelancer vs In-House UK: /agency-vs-freelancer-vs-in-house-uk/</w:t>
      </w:r>
    </w:p>
    <w:p>
      <w:pPr>
        <w:pStyle w:val="ListParagraph"/>
        <w:numPr>
          <w:ilvl w:val="0"/>
          <w:numId w:val="3"/>
        </w:numPr>
        <w:spacing w:after="60" w:before="60"/>
      </w:pPr>
      <w:r>
        <w:rPr>
          <w:rFonts w:ascii="Arial" w:cs="Arial" w:eastAsia="Arial" w:hAnsi="Arial"/>
          <w:color w:val="1A4A8A"/>
          <w:sz w:val="22"/>
          <w:szCs w:val="22"/>
        </w:rPr>
        <w:t xml:space="preserve">Software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IR35 Risk Assessment</w:t>
            </w:r>
          </w:p>
          <w:p>
            <w:pPr>
              <w:spacing w:after="160" w:before="0"/>
            </w:pPr>
            <w:r>
              <w:rPr>
                <w:rFonts w:ascii="Arial" w:cs="Arial" w:eastAsia="Arial" w:hAnsi="Arial"/>
                <w:color w:val="BDD0E8"/>
                <w:sz w:val="22"/>
                <w:szCs w:val="22"/>
              </w:rPr>
              <w:t xml:space="preserve">ClickMasters will review your current contractor arrangements and identify IR35 risk. Free 30-minute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HR/Legal Team</w:t>
            </w:r>
          </w:p>
          <w:p>
            <w:pPr>
              <w:spacing w:after="80" w:before="0"/>
            </w:pPr>
            <w:r>
              <w:rPr>
                <w:rFonts w:ascii="Arial" w:cs="Arial" w:eastAsia="Arial" w:hAnsi="Arial"/>
                <w:b/>
                <w:bCs/>
                <w:color w:val="E8612A"/>
                <w:sz w:val="20"/>
                <w:szCs w:val="20"/>
              </w:rPr>
              <w:t xml:space="preserve">IR35 compliance specialists</w:t>
            </w:r>
          </w:p>
          <w:p>
            <w:pPr>
              <w:spacing w:after="0" w:before="0"/>
            </w:pPr>
            <w:r>
              <w:rPr>
                <w:rFonts w:ascii="Arial" w:cs="Arial" w:eastAsia="Arial" w:hAnsi="Arial"/>
                <w:color w:val="1A2332"/>
                <w:sz w:val="20"/>
                <w:szCs w:val="20"/>
              </w:rPr>
              <w:t xml:space="preserve">This guide is for information purposes only. Consult a specialist employment tax adviser for your specific situation.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"ir35 software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2026-05-26T14:21:19.137Z</dcterms:created>
  <dcterms:modified xsi:type="dcterms:W3CDTF">2026-05-26T14:21:19.137Z</dcterms:modified>
</cp:coreProperties>
</file>

<file path=docProps/custom.xml><?xml version="1.0" encoding="utf-8"?>
<Properties xmlns="http://schemas.openxmlformats.org/officeDocument/2006/custom-properties" xmlns:vt="http://schemas.openxmlformats.org/officeDocument/2006/docPropsVTypes"/>
</file>