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META TITLE: UK GDPR Data Processor Agreement Guide (2025) | ClickMasters
META DESC: UK GDPR Article 28 Data Processing Agreement (DPA) guide for software companies. What must be included, sub-processors, cloud providers. ClickMasters provides DPAs.
SLUG: /uk-gdpr-data-processor-agreement-guide/</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Last updated: June 2025  |  Reading time: 10 min  |  Written by: ClickMasters Legal Team  |  Reviewed by: James Whitmore, CTO</w:t>
            </w:r>
          </w:p>
        </w:tc>
      </w:tr>
    </w:tbl>
    <w:p>
      <w:pPr>
        <w:spacing w:after="60" w:before="60"/>
      </w:pPr>
    </w:p>
    <w:p>
      <w:pPr>
        <w:spacing w:after="100" w:before="100"/>
      </w:pPr>
      <w:r>
        <w:rPr>
          <w:rFonts w:ascii="Arial" w:cs="Arial" w:eastAsia="Arial" w:hAnsi="Arial"/>
          <w:b w:val="false"/>
          <w:bCs w:val="false"/>
          <w:color w:val="1A4A8A"/>
          <w:sz w:val="18"/>
          <w:szCs w:val="18"/>
        </w:rPr>
        <w:t xml:space="preserve">Home</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Resources</w:t>
      </w:r>
      <w:r>
        <w:rPr>
          <w:rFonts w:ascii="Arial" w:cs="Arial" w:eastAsia="Arial" w:hAnsi="Arial"/>
          <w:color w:val="5A6E82"/>
          <w:sz w:val="18"/>
          <w:szCs w:val="18"/>
        </w:rPr>
        <w:t xml:space="preserve"> › </w:t>
      </w:r>
      <w:r>
        <w:rPr>
          <w:rFonts w:ascii="Arial" w:cs="Arial" w:eastAsia="Arial" w:hAnsi="Arial"/>
          <w:b/>
          <w:bCs/>
          <w:color w:val="1A2332"/>
          <w:sz w:val="18"/>
          <w:szCs w:val="18"/>
        </w:rPr>
        <w:t xml:space="preserve">UK GDPR Data Processor Agreement Guide</w:t>
      </w:r>
    </w:p>
    <w:p>
      <w:pPr>
        <w:spacing w:after="60" w:before="60"/>
      </w:pPr>
    </w:p>
    <w:p>
      <w:pPr>
        <w:pStyle w:val="Heading1"/>
        <w:spacing w:after="160" w:before="360"/>
      </w:pPr>
      <w:r>
        <w:rPr>
          <w:rFonts w:ascii="Arial" w:cs="Arial" w:eastAsia="Arial" w:hAnsi="Arial"/>
          <w:b/>
          <w:bCs/>
          <w:color w:val="0B1F3A"/>
          <w:sz w:val="40"/>
          <w:szCs w:val="40"/>
        </w:rPr>
        <w:t xml:space="preserve">UK GDPR Data Processing Agreement Guide (Article 28) — 2025</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c>
          <w:tcPr>
            <w:tcW w:type="dxa" w:w="1805"/>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Article 28</w:t>
            </w:r>
          </w:p>
        </w:tc>
        <w:tc>
          <w:tcPr>
            <w:tcW w:type="dxa" w:w="1805"/>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 GDPR</w:t>
            </w:r>
          </w:p>
        </w:tc>
        <w:tc>
          <w:tcPr>
            <w:tcW w:type="dxa" w:w="1805"/>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ICO</w:t>
            </w:r>
          </w:p>
        </w:tc>
        <w:tc>
          <w:tcPr>
            <w:tcW w:type="dxa" w:w="1805"/>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Sub-Processors</w:t>
            </w:r>
          </w:p>
        </w:tc>
        <w:tc>
          <w:tcPr>
            <w:tcW w:type="dxa" w:w="1805"/>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Template Available</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F" w:sz="1"/>
              <w:left w:val="single" w:color="EBF5FF" w:sz="1"/>
              <w:bottom w:val="single" w:color="EBF5FF" w:sz="1"/>
              <w:right w:val="single" w:color="EBF5FF" w:sz="1"/>
            </w:tcBorders>
            <w:shd w:fill="EBF5FF"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2"/>
                <w:szCs w:val="22"/>
              </w:rPr>
              <w:t xml:space="preserve">Direct Answer: UK GDPR Article 28 requires a written contract between a data controller (the client) and a data processor (a software supplier processing personal data on the controller's behalf). Without a valid Data Processing Agreement (DPA), the controller is in breach of UK GDPR. ClickMasters provides a UK GDPR Article 28-compliant DPA with every engagement involving personal data processing.</w:t>
            </w:r>
          </w:p>
        </w:tc>
      </w:tr>
    </w:tbl>
    <w:p>
      <w:pPr>
        <w:spacing w:after="60" w:before="60"/>
      </w:pPr>
    </w:p>
    <w:p>
      <w:pPr>
        <w:spacing w:after="160" w:before="100"/>
      </w:pPr>
      <w:r>
        <w:rPr>
          <w:rFonts w:ascii="Arial" w:cs="Arial" w:eastAsia="Arial" w:hAnsi="Arial"/>
          <w:b w:val="false"/>
          <w:bCs w:val="false"/>
          <w:i w:val="false"/>
          <w:iCs w:val="false"/>
          <w:color w:val="1A2332"/>
          <w:sz w:val="22"/>
          <w:szCs w:val="22"/>
        </w:rPr>
        <w:t xml:space="preserve">This guide covers the UK GDPR Data Processing Agreement requirements as of June 2025. This is general information — consult a data protection solicitor for your specific circumstances. The ICO publishes guidance on Article 28 contracts at ico.org.uk.</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Controller vs Processor — The Critical Distinction</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2800"/>
        <w:gridCol w:w="2400"/>
        <w:gridCol w:w="2226"/>
      </w:tblGrid>
      <w:tr>
        <w:trPr>
          <w:tblHeader/>
        </w:trPr>
        <w:tc>
          <w:tcPr>
            <w:tcW w:type="dxa" w:w="16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Role</w:t>
            </w:r>
          </w:p>
        </w:tc>
        <w:tc>
          <w:tcPr>
            <w:tcW w:type="dxa" w:w="28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Definition</w:t>
            </w:r>
          </w:p>
        </w:tc>
        <w:tc>
          <w:tcPr>
            <w:tcW w:type="dxa" w:w="24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Example</w:t>
            </w:r>
          </w:p>
        </w:tc>
        <w:tc>
          <w:tcPr>
            <w:tcW w:type="dxa" w:w="2226"/>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UK GDPR Obligations</w:t>
            </w:r>
          </w:p>
        </w:tc>
      </w:tr>
      <w:tr>
        <w:tc>
          <w:tcPr>
            <w:tcW w:type="dxa" w:w="16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Data Controller</w:t>
            </w:r>
          </w:p>
        </w:tc>
        <w:tc>
          <w:tcPr>
            <w:tcW w:type="dxa" w:w="2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Determines the purposes and means of processing</w:t>
            </w:r>
          </w:p>
        </w:tc>
        <w:tc>
          <w:tcPr>
            <w:tcW w:type="dxa" w:w="24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UK law firm (decides why client data is processed)</w:t>
            </w:r>
          </w:p>
        </w:tc>
        <w:tc>
          <w:tcPr>
            <w:tcW w:type="dxa" w:w="2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All UK GDPR obligations apply directly</w:t>
            </w:r>
          </w:p>
        </w:tc>
      </w:tr>
      <w:tr>
        <w:tc>
          <w:tcPr>
            <w:tcW w:type="dxa" w:w="16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Data Processor</w:t>
            </w:r>
          </w:p>
        </w:tc>
        <w:tc>
          <w:tcPr>
            <w:tcW w:type="dxa" w:w="28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Processes personal data on behalf of a controller</w:t>
            </w:r>
          </w:p>
        </w:tc>
        <w:tc>
          <w:tcPr>
            <w:tcW w:type="dxa" w:w="24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ClickMasters (processes client data to deliver software)</w:t>
            </w:r>
          </w:p>
        </w:tc>
        <w:tc>
          <w:tcPr>
            <w:tcW w:type="dxa" w:w="22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Specific Article 28 obligations, plus Article 32 security</w:t>
            </w:r>
          </w:p>
        </w:tc>
      </w:tr>
      <w:tr>
        <w:tc>
          <w:tcPr>
            <w:tcW w:type="dxa" w:w="16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Joint Controller</w:t>
            </w:r>
          </w:p>
        </w:tc>
        <w:tc>
          <w:tcPr>
            <w:tcW w:type="dxa" w:w="2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Two+ parties jointly determine purposes/means</w:t>
            </w:r>
          </w:p>
        </w:tc>
        <w:tc>
          <w:tcPr>
            <w:tcW w:type="dxa" w:w="24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Two hospitals running a shared patient record system</w:t>
            </w:r>
          </w:p>
        </w:tc>
        <w:tc>
          <w:tcPr>
            <w:tcW w:type="dxa" w:w="2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Both parties responsible — Article 26 required</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What Must a UK GDPR Article 28 DPA Include?</w:t>
            </w:r>
          </w:p>
        </w:tc>
      </w:tr>
    </w:tbl>
    <w:p>
      <w:pPr>
        <w:spacing w:after="60" w:before="60"/>
      </w:pPr>
    </w:p>
    <w:p>
      <w:pPr>
        <w:spacing w:after="160" w:before="100"/>
      </w:pPr>
      <w:r>
        <w:rPr>
          <w:rFonts w:ascii="Arial" w:cs="Arial" w:eastAsia="Arial" w:hAnsi="Arial"/>
          <w:b w:val="false"/>
          <w:bCs w:val="false"/>
          <w:i w:val="false"/>
          <w:iCs w:val="false"/>
          <w:color w:val="1A2332"/>
          <w:sz w:val="22"/>
          <w:szCs w:val="22"/>
        </w:rPr>
        <w:t xml:space="preserve">Article 28(3) sets out mandatory terms. A DPA that omits any of these is non-compliant:</w:t>
      </w: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4626"/>
      </w:tblGrid>
      <w:tr>
        <w:trPr>
          <w:tblHeader/>
        </w:trPr>
        <w:tc>
          <w:tcPr>
            <w:tcW w:type="dxa" w:w="26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Mandatory Term</w:t>
            </w:r>
          </w:p>
        </w:tc>
        <w:tc>
          <w:tcPr>
            <w:tcW w:type="dxa" w:w="18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Article 28(3) Reference</w:t>
            </w:r>
          </w:p>
        </w:tc>
        <w:tc>
          <w:tcPr>
            <w:tcW w:type="dxa" w:w="4626"/>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What to Include</w:t>
            </w:r>
          </w:p>
        </w:tc>
      </w:tr>
      <w:tr>
        <w:tc>
          <w:tcPr>
            <w:tcW w:type="dxa" w:w="26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Process only on documented instructions</w:t>
            </w:r>
          </w:p>
        </w:tc>
        <w:tc>
          <w:tcPr>
            <w:tcW w:type="dxa" w:w="1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Art 28(3)(a)</w:t>
            </w:r>
          </w:p>
        </w:tc>
        <w:tc>
          <w:tcPr>
            <w:tcW w:type="dxa" w:w="46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Scope of processing, specific purposes, lawful basis reference</w:t>
            </w:r>
          </w:p>
        </w:tc>
      </w:tr>
      <w:tr>
        <w:tc>
          <w:tcPr>
            <w:tcW w:type="dxa" w:w="26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Confidentiality obligation</w:t>
            </w:r>
          </w:p>
        </w:tc>
        <w:tc>
          <w:tcPr>
            <w:tcW w:type="dxa" w:w="18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Art 28(3)(b)</w:t>
            </w:r>
          </w:p>
        </w:tc>
        <w:tc>
          <w:tcPr>
            <w:tcW w:type="dxa" w:w="46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Processor staff bound by confidentiality (employment contract or separate NDA)</w:t>
            </w:r>
          </w:p>
        </w:tc>
      </w:tr>
      <w:tr>
        <w:tc>
          <w:tcPr>
            <w:tcW w:type="dxa" w:w="26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Security measures</w:t>
            </w:r>
          </w:p>
        </w:tc>
        <w:tc>
          <w:tcPr>
            <w:tcW w:type="dxa" w:w="1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Art 28(3)(c) + Art 32</w:t>
            </w:r>
          </w:p>
        </w:tc>
        <w:tc>
          <w:tcPr>
            <w:tcW w:type="dxa" w:w="46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Technical and organisational measures — reference Annex (see below)</w:t>
            </w:r>
          </w:p>
        </w:tc>
      </w:tr>
      <w:tr>
        <w:tc>
          <w:tcPr>
            <w:tcW w:type="dxa" w:w="26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Sub-processor restrictions</w:t>
            </w:r>
          </w:p>
        </w:tc>
        <w:tc>
          <w:tcPr>
            <w:tcW w:type="dxa" w:w="18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Art 28(3)(d)</w:t>
            </w:r>
          </w:p>
        </w:tc>
        <w:tc>
          <w:tcPr>
            <w:tcW w:type="dxa" w:w="46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Prior written authorisation required; same obligations on sub-processors</w:t>
            </w:r>
          </w:p>
        </w:tc>
      </w:tr>
      <w:tr>
        <w:tc>
          <w:tcPr>
            <w:tcW w:type="dxa" w:w="26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Data subject rights assistance</w:t>
            </w:r>
          </w:p>
        </w:tc>
        <w:tc>
          <w:tcPr>
            <w:tcW w:type="dxa" w:w="1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Art 28(3)(e)</w:t>
            </w:r>
          </w:p>
        </w:tc>
        <w:tc>
          <w:tcPr>
            <w:tcW w:type="dxa" w:w="46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Processor assists controller in responding to DSARs, erasure requests</w:t>
            </w:r>
          </w:p>
        </w:tc>
      </w:tr>
      <w:tr>
        <w:tc>
          <w:tcPr>
            <w:tcW w:type="dxa" w:w="26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Assist with compliance obligations</w:t>
            </w:r>
          </w:p>
        </w:tc>
        <w:tc>
          <w:tcPr>
            <w:tcW w:type="dxa" w:w="18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Art 28(3)(f)</w:t>
            </w:r>
          </w:p>
        </w:tc>
        <w:tc>
          <w:tcPr>
            <w:tcW w:type="dxa" w:w="46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Security, breach notification (within 24/48 hours to controller), DPIAs, consultations with ICO</w:t>
            </w:r>
          </w:p>
        </w:tc>
      </w:tr>
      <w:tr>
        <w:tc>
          <w:tcPr>
            <w:tcW w:type="dxa" w:w="26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Delete or return data at end</w:t>
            </w:r>
          </w:p>
        </w:tc>
        <w:tc>
          <w:tcPr>
            <w:tcW w:type="dxa" w:w="1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Art 28(3)(g)</w:t>
            </w:r>
          </w:p>
        </w:tc>
        <w:tc>
          <w:tcPr>
            <w:tcW w:type="dxa" w:w="46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Delete or return all personal data at contract end — controller's choice</w:t>
            </w:r>
          </w:p>
        </w:tc>
      </w:tr>
      <w:tr>
        <w:tc>
          <w:tcPr>
            <w:tcW w:type="dxa" w:w="26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Provide audit evidence</w:t>
            </w:r>
          </w:p>
        </w:tc>
        <w:tc>
          <w:tcPr>
            <w:tcW w:type="dxa" w:w="18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Art 28(3)(h)</w:t>
            </w:r>
          </w:p>
        </w:tc>
        <w:tc>
          <w:tcPr>
            <w:tcW w:type="dxa" w:w="46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Allow audits/inspections by controller or appointed auditor</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Article 32 Security Annex — What to Include</w:t>
            </w:r>
          </w:p>
        </w:tc>
      </w:tr>
    </w:tbl>
    <w:p>
      <w:pPr>
        <w:spacing w:after="60" w:before="60"/>
      </w:pPr>
    </w:p>
    <w:p>
      <w:pPr>
        <w:spacing w:after="160" w:before="100"/>
      </w:pPr>
      <w:r>
        <w:rPr>
          <w:rFonts w:ascii="Arial" w:cs="Arial" w:eastAsia="Arial" w:hAnsi="Arial"/>
          <w:b w:val="false"/>
          <w:bCs w:val="false"/>
          <w:i w:val="false"/>
          <w:iCs w:val="false"/>
          <w:color w:val="1A2332"/>
          <w:sz w:val="22"/>
          <w:szCs w:val="22"/>
        </w:rPr>
        <w:t xml:space="preserve">The security measures in the DPA Annex should reflect the Article 32 risk-based approach. For ClickMasters engagements:</w:t>
      </w:r>
    </w:p>
    <w:p>
      <w:pPr>
        <w:spacing w:after="60" w:before="60"/>
      </w:pPr>
    </w:p>
    <w:p>
      <w:pPr>
        <w:pStyle w:val="ListParagraph"/>
        <w:numPr>
          <w:ilvl w:val="0"/>
          <w:numId w:val="2"/>
        </w:numPr>
        <w:spacing w:after="60" w:before="60"/>
      </w:pPr>
      <w:r>
        <w:rPr>
          <w:rFonts w:ascii="Arial" w:cs="Arial" w:eastAsia="Arial" w:hAnsi="Arial"/>
          <w:color w:val="1A2332"/>
          <w:sz w:val="22"/>
          <w:szCs w:val="22"/>
        </w:rPr>
        <w:t xml:space="preserve">Encryption at rest: AES-256 for all personal data at rest (database, backups, S3).</w:t>
      </w:r>
    </w:p>
    <w:p>
      <w:pPr>
        <w:pStyle w:val="ListParagraph"/>
        <w:numPr>
          <w:ilvl w:val="0"/>
          <w:numId w:val="2"/>
        </w:numPr>
        <w:spacing w:after="60" w:before="60"/>
      </w:pPr>
      <w:r>
        <w:rPr>
          <w:rFonts w:ascii="Arial" w:cs="Arial" w:eastAsia="Arial" w:hAnsi="Arial"/>
          <w:color w:val="1A2332"/>
          <w:sz w:val="22"/>
          <w:szCs w:val="22"/>
        </w:rPr>
        <w:t xml:space="preserve">Encryption in transit: TLS 1.2 minimum, TLS 1.3 preferred, for all personal data in transit.</w:t>
      </w:r>
    </w:p>
    <w:p>
      <w:pPr>
        <w:pStyle w:val="ListParagraph"/>
        <w:numPr>
          <w:ilvl w:val="0"/>
          <w:numId w:val="2"/>
        </w:numPr>
        <w:spacing w:after="60" w:before="60"/>
      </w:pPr>
      <w:r>
        <w:rPr>
          <w:rFonts w:ascii="Arial" w:cs="Arial" w:eastAsia="Arial" w:hAnsi="Arial"/>
          <w:color w:val="1A2332"/>
          <w:sz w:val="22"/>
          <w:szCs w:val="22"/>
        </w:rPr>
        <w:t xml:space="preserve">Access controls: RBAC with least privilege, MFA for admin accounts, unique accounts per user.</w:t>
      </w:r>
    </w:p>
    <w:p>
      <w:pPr>
        <w:pStyle w:val="ListParagraph"/>
        <w:numPr>
          <w:ilvl w:val="0"/>
          <w:numId w:val="2"/>
        </w:numPr>
        <w:spacing w:after="60" w:before="60"/>
      </w:pPr>
      <w:r>
        <w:rPr>
          <w:rFonts w:ascii="Arial" w:cs="Arial" w:eastAsia="Arial" w:hAnsi="Arial"/>
          <w:color w:val="1A2332"/>
          <w:sz w:val="22"/>
          <w:szCs w:val="22"/>
        </w:rPr>
        <w:t xml:space="preserve">Vulnerability management: Dependabot automated CVE scanning, OS patches within 14 days (Cyber Essentials).</w:t>
      </w:r>
    </w:p>
    <w:p>
      <w:pPr>
        <w:pStyle w:val="ListParagraph"/>
        <w:numPr>
          <w:ilvl w:val="0"/>
          <w:numId w:val="2"/>
        </w:numPr>
        <w:spacing w:after="60" w:before="60"/>
      </w:pPr>
      <w:r>
        <w:rPr>
          <w:rFonts w:ascii="Arial" w:cs="Arial" w:eastAsia="Arial" w:hAnsi="Arial"/>
          <w:color w:val="1A2332"/>
          <w:sz w:val="22"/>
          <w:szCs w:val="22"/>
        </w:rPr>
        <w:t xml:space="preserve">Penetration testing: annual CREST penetration test for systems processing special category data.</w:t>
      </w:r>
    </w:p>
    <w:p>
      <w:pPr>
        <w:pStyle w:val="ListParagraph"/>
        <w:numPr>
          <w:ilvl w:val="0"/>
          <w:numId w:val="2"/>
        </w:numPr>
        <w:spacing w:after="60" w:before="60"/>
      </w:pPr>
      <w:r>
        <w:rPr>
          <w:rFonts w:ascii="Arial" w:cs="Arial" w:eastAsia="Arial" w:hAnsi="Arial"/>
          <w:color w:val="1A2332"/>
          <w:sz w:val="22"/>
          <w:szCs w:val="22"/>
        </w:rPr>
        <w:t xml:space="preserve">Incident response: breach notification to controller within 24 hours of discovery.</w:t>
      </w:r>
    </w:p>
    <w:p>
      <w:pPr>
        <w:pStyle w:val="ListParagraph"/>
        <w:numPr>
          <w:ilvl w:val="0"/>
          <w:numId w:val="2"/>
        </w:numPr>
        <w:spacing w:after="60" w:before="60"/>
      </w:pPr>
      <w:r>
        <w:rPr>
          <w:rFonts w:ascii="Arial" w:cs="Arial" w:eastAsia="Arial" w:hAnsi="Arial"/>
          <w:color w:val="1A2332"/>
          <w:sz w:val="22"/>
          <w:szCs w:val="22"/>
        </w:rPr>
        <w:t xml:space="preserve">Cyber Essentials: certified annually — certificate available on request.</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Sub-Processor Management</w:t>
            </w:r>
          </w:p>
        </w:tc>
      </w:tr>
    </w:tbl>
    <w:p>
      <w:pPr>
        <w:spacing w:after="60" w:before="60"/>
      </w:pPr>
    </w:p>
    <w:p>
      <w:pPr>
        <w:spacing w:after="160" w:before="100"/>
      </w:pPr>
      <w:r>
        <w:rPr>
          <w:rFonts w:ascii="Arial" w:cs="Arial" w:eastAsia="Arial" w:hAnsi="Arial"/>
          <w:b w:val="false"/>
          <w:bCs w:val="false"/>
          <w:i w:val="false"/>
          <w:iCs w:val="false"/>
          <w:color w:val="1A2332"/>
          <w:sz w:val="22"/>
          <w:szCs w:val="22"/>
        </w:rPr>
        <w:t xml:space="preserve">ClickMasters uses the following sub-processors. The DPA must authorise these specifically or by category:</w:t>
      </w: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000"/>
        <w:gridCol w:w="2426"/>
      </w:tblGrid>
      <w:tr>
        <w:trPr>
          <w:tblHeader/>
        </w:trPr>
        <w:tc>
          <w:tcPr>
            <w:tcW w:type="dxa" w:w="22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Sub-Processor</w:t>
            </w:r>
          </w:p>
        </w:tc>
        <w:tc>
          <w:tcPr>
            <w:tcW w:type="dxa" w:w="24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Purpose</w:t>
            </w:r>
          </w:p>
        </w:tc>
        <w:tc>
          <w:tcPr>
            <w:tcW w:type="dxa" w:w="20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Location</w:t>
            </w:r>
          </w:p>
        </w:tc>
        <w:tc>
          <w:tcPr>
            <w:tcW w:type="dxa" w:w="2426"/>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Data Transfer Mechanism</w:t>
            </w:r>
          </w:p>
        </w:tc>
      </w:tr>
      <w:tr>
        <w:tc>
          <w:tcPr>
            <w:tcW w:type="dxa" w:w="2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Amazon Web Services (AWS)</w:t>
            </w:r>
          </w:p>
        </w:tc>
        <w:tc>
          <w:tcPr>
            <w:tcW w:type="dxa" w:w="24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Cloud infrastructure, databases, storage</w:t>
            </w:r>
          </w:p>
        </w:tc>
        <w:tc>
          <w:tcPr>
            <w:tcW w:type="dxa" w:w="2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eu-west-2 (London) — UK data residency</w:t>
            </w:r>
          </w:p>
        </w:tc>
        <w:tc>
          <w:tcPr>
            <w:tcW w:type="dxa" w:w="24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AWS Data Processing Addendum (DPA)</w:t>
            </w:r>
          </w:p>
        </w:tc>
      </w:tr>
      <w:tr>
        <w:tc>
          <w:tcPr>
            <w:tcW w:type="dxa" w:w="22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GitHub (Microsoft)</w:t>
            </w:r>
          </w:p>
        </w:tc>
        <w:tc>
          <w:tcPr>
            <w:tcW w:type="dxa" w:w="24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Source code repository, CI/CD (code only — no live personal data)</w:t>
            </w:r>
          </w:p>
        </w:tc>
        <w:tc>
          <w:tcPr>
            <w:tcW w:type="dxa" w:w="20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US — IDTA applies</w:t>
            </w:r>
          </w:p>
        </w:tc>
        <w:tc>
          <w:tcPr>
            <w:tcW w:type="dxa" w:w="24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Microsoft Online Services DPA</w:t>
            </w:r>
          </w:p>
        </w:tc>
      </w:tr>
      <w:tr>
        <w:tc>
          <w:tcPr>
            <w:tcW w:type="dxa" w:w="2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Datadog (optional)</w:t>
            </w:r>
          </w:p>
        </w:tc>
        <w:tc>
          <w:tcPr>
            <w:tcW w:type="dxa" w:w="24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Application performance monitoring, logs</w:t>
            </w:r>
          </w:p>
        </w:tc>
        <w:tc>
          <w:tcPr>
            <w:tcW w:type="dxa" w:w="2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EU region configurable</w:t>
            </w:r>
          </w:p>
        </w:tc>
        <w:tc>
          <w:tcPr>
            <w:tcW w:type="dxa" w:w="24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Datadog DPA + SCCs/IDTA</w:t>
            </w:r>
          </w:p>
        </w:tc>
      </w:tr>
      <w:tr>
        <w:tc>
          <w:tcPr>
            <w:tcW w:type="dxa" w:w="22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Stripe (payment projects only)</w:t>
            </w:r>
          </w:p>
        </w:tc>
        <w:tc>
          <w:tcPr>
            <w:tcW w:type="dxa" w:w="24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Payment processing</w:t>
            </w:r>
          </w:p>
        </w:tc>
        <w:tc>
          <w:tcPr>
            <w:tcW w:type="dxa" w:w="20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UK/EU</w:t>
            </w:r>
          </w:p>
        </w:tc>
        <w:tc>
          <w:tcPr>
            <w:tcW w:type="dxa" w:w="24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Stripe Data Processing Agreement</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IDTA — International Data Transfer Addendum</w:t>
            </w:r>
          </w:p>
        </w:tc>
      </w:tr>
    </w:tbl>
    <w:p>
      <w:pPr>
        <w:spacing w:after="60" w:before="60"/>
      </w:pPr>
    </w:p>
    <w:p>
      <w:pPr>
        <w:spacing w:after="160" w:before="100"/>
      </w:pPr>
      <w:r>
        <w:rPr>
          <w:rFonts w:ascii="Arial" w:cs="Arial" w:eastAsia="Arial" w:hAnsi="Arial"/>
          <w:b w:val="false"/>
          <w:bCs w:val="false"/>
          <w:i w:val="false"/>
          <w:iCs w:val="false"/>
          <w:color w:val="1A2332"/>
          <w:sz w:val="22"/>
          <w:szCs w:val="22"/>
        </w:rPr>
        <w:t xml:space="preserve">Post-Brexit: transfers of UK personal data from the UK to non-adequate countries (including the US) require either the ICO's IDTA (International Data Transfer Addendum) or the UK GDPR Addendum to EU SCCs. The IDTA is the ICO's mechanism for authorising UK→US data transfers. AWS, GitHub, and Stripe all offer UK GDPR-compliant IDTAs. ClickMasters ensures all sub-processor IDTAs are in place for UK personal data transfers.</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FAQs</w:t>
            </w:r>
          </w:p>
        </w:tc>
      </w:tr>
    </w:tbl>
    <w:p>
      <w:pPr>
        <w:spacing w:after="60" w:before="60"/>
      </w:pP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Does ClickMasters provide a DPA as part of every engagement?</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Yes — ClickMasters provides a UK GDPR Article 28-compliant Data Processing Agreement with every engagement that involves personal data processing. The DPA is included in the ClickMasters master services agreement. A sub-processor list (updated when sub-processors change) is published on our website and provided on request.</w:t>
      </w: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What if the ICO audits our data processor (ClickMasters)?</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Article 28(3)(h) gives the controller the right to audit the processor. ICO may contact the processor directly in an investigation. ClickMasters maintains: UK GDPR compliance documentation, Cyber Essentials certificate, annual penetration test report, and Article 28 DPAs with all sub-processors. These are available to controllers on request for audit purposes.</w:t>
      </w: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Is a DPA required for all software development engagements?</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Only when ClickMasters processes personal data on the client's behalf. Building a system (software development) where ClickMasters does not access live personal data: typically no DPA required (unless development uses real data — anonymised test data is preferred). Hosting and operating a system with live personal data: DPA required. Ongoing managed services or support with production access: DPA required.</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Pages</w:t>
            </w:r>
          </w:p>
        </w:tc>
      </w:tr>
    </w:tbl>
    <w:p>
      <w:pPr>
        <w:spacing w:after="60" w:before="60"/>
      </w:pPr>
    </w:p>
    <w:p>
      <w:pPr>
        <w:pStyle w:val="ListParagraph"/>
        <w:numPr>
          <w:ilvl w:val="0"/>
          <w:numId w:val="3"/>
        </w:numPr>
        <w:spacing w:after="60" w:before="60"/>
      </w:pPr>
      <w:r>
        <w:rPr>
          <w:rFonts w:ascii="Arial" w:cs="Arial" w:eastAsia="Arial" w:hAnsi="Arial"/>
          <w:color w:val="1A4A8A"/>
          <w:sz w:val="22"/>
          <w:szCs w:val="22"/>
        </w:rPr>
        <w:t xml:space="preserve">UK GDPR Compliance Checklist: /uk-gdpr-software-compliance-checklist/</w:t>
      </w:r>
    </w:p>
    <w:p>
      <w:pPr>
        <w:pStyle w:val="ListParagraph"/>
        <w:numPr>
          <w:ilvl w:val="0"/>
          <w:numId w:val="3"/>
        </w:numPr>
        <w:spacing w:after="60" w:before="60"/>
      </w:pPr>
      <w:r>
        <w:rPr>
          <w:rFonts w:ascii="Arial" w:cs="Arial" w:eastAsia="Arial" w:hAnsi="Arial"/>
          <w:color w:val="1A4A8A"/>
          <w:sz w:val="22"/>
          <w:szCs w:val="22"/>
        </w:rPr>
        <w:t xml:space="preserve">ISO 27001 Software Guide: /iso-27001-software-development-guide/</w:t>
      </w:r>
    </w:p>
    <w:p>
      <w:pPr>
        <w:pStyle w:val="ListParagraph"/>
        <w:numPr>
          <w:ilvl w:val="0"/>
          <w:numId w:val="3"/>
        </w:numPr>
        <w:spacing w:after="60" w:before="60"/>
      </w:pPr>
      <w:r>
        <w:rPr>
          <w:rFonts w:ascii="Arial" w:cs="Arial" w:eastAsia="Arial" w:hAnsi="Arial"/>
          <w:color w:val="1A4A8A"/>
          <w:sz w:val="22"/>
          <w:szCs w:val="22"/>
        </w:rPr>
        <w:t xml:space="preserve">Cyber Essentials Software Guide: /cyber-essentials-software-development-guide/</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612A" w:sz="1"/>
              <w:left w:val="single" w:color="E8612A" w:sz="1"/>
              <w:bottom w:val="single" w:color="E8612A" w:sz="1"/>
              <w:right w:val="single" w:color="E8612A" w:sz="1"/>
            </w:tcBorders>
            <w:shd w:fill="0B1F3A" w:val="clear"/>
            <w:tcMar>
              <w:top w:type="dxa" w:w="240"/>
              <w:left w:type="dxa" w:w="280"/>
              <w:bottom w:type="dxa" w:w="240"/>
              <w:right w:type="dxa" w:w="280"/>
            </w:tcMar>
          </w:tcPr>
          <w:p>
            <w:pPr>
              <w:spacing w:after="100" w:before="0"/>
            </w:pPr>
            <w:r>
              <w:rPr>
                <w:rFonts w:ascii="Arial" w:cs="Arial" w:eastAsia="Arial" w:hAnsi="Arial"/>
                <w:b/>
                <w:bCs/>
                <w:color w:val="FFFFFF"/>
                <w:sz w:val="28"/>
                <w:szCs w:val="28"/>
              </w:rPr>
              <w:t xml:space="preserve">Request a ClickMasters UK GDPR DPA</w:t>
            </w:r>
          </w:p>
          <w:p>
            <w:pPr>
              <w:spacing w:after="160" w:before="0"/>
            </w:pPr>
            <w:r>
              <w:rPr>
                <w:rFonts w:ascii="Arial" w:cs="Arial" w:eastAsia="Arial" w:hAnsi="Arial"/>
                <w:color w:val="BDD0E8"/>
                <w:sz w:val="22"/>
                <w:szCs w:val="22"/>
              </w:rPr>
              <w:t xml:space="preserve">ClickMasters provides a compliant Article 28 DPA with every engagement. Download our template or contact us.</w:t>
            </w:r>
          </w:p>
          <w:p>
            <w:pPr>
              <w:spacing w:after="0" w:before="0"/>
            </w:pPr>
            <w:r>
              <w:rPr>
                <w:rFonts w:ascii="Arial" w:cs="Arial" w:eastAsia="Arial" w:hAnsi="Arial"/>
                <w:b/>
                <w:bCs/>
                <w:color w:val="E8612A"/>
                <w:sz w:val="22"/>
                <w:szCs w:val="22"/>
              </w:rPr>
              <w:t xml:space="preserve">→ clickmasterssoftwaredevelopmentcompany.co.uk/contact/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single" w:color="D6E4F5" w:sz="1"/>
              <w:left w:val="single" w:color="D6E4F5" w:sz="1"/>
              <w:bottom w:val="single" w:color="D6E4F5" w:sz="1"/>
              <w:right w:val="single" w:color="D6E4F5" w:sz="1"/>
            </w:tcBorders>
            <w:shd w:fill="EBF2FA" w:val="clear"/>
            <w:tcMar>
              <w:top w:type="dxa" w:w="160"/>
              <w:left w:type="dxa" w:w="160"/>
              <w:bottom w:type="dxa" w:w="160"/>
              <w:right w:type="dxa" w:w="160"/>
            </w:tcMar>
          </w:tcPr>
          <w:p>
            <w:pPr>
              <w:spacing w:after="60" w:before="0"/>
            </w:pPr>
            <w:r>
              <w:rPr>
                <w:rFonts w:ascii="Arial" w:cs="Arial" w:eastAsia="Arial" w:hAnsi="Arial"/>
                <w:sz w:val="36"/>
                <w:szCs w:val="36"/>
              </w:rPr>
              <w:t xml:space="preserve">👤</w:t>
            </w:r>
          </w:p>
          <w:p>
            <w:pPr>
              <w:spacing w:after="0" w:before="0"/>
            </w:pPr>
            <w:r>
              <w:rPr>
                <w:rFonts w:ascii="Arial" w:cs="Arial" w:eastAsia="Arial" w:hAnsi="Arial"/>
                <w:b/>
                <w:bCs/>
                <w:color w:val="5A6E82"/>
                <w:sz w:val="16"/>
                <w:szCs w:val="16"/>
              </w:rPr>
              <w:t xml:space="preserve">AUTHOR</w:t>
            </w:r>
          </w:p>
        </w:tc>
        <w:tc>
          <w:tcPr>
            <w:tcW w:type="dxa" w:w="7826"/>
            <w:tcBorders>
              <w:top w:val="single" w:color="D6E4F5" w:sz="1"/>
              <w:left w:val="single" w:color="D6E4F5" w:sz="1"/>
              <w:bottom w:val="single" w:color="D6E4F5" w:sz="1"/>
              <w:right w:val="single" w:color="D6E4F5" w:sz="1"/>
            </w:tcBorders>
            <w:shd w:fill="EBF2FA" w:val="clear"/>
            <w:tcMar>
              <w:top w:type="dxa" w:w="160"/>
              <w:left w:type="dxa" w:w="200"/>
              <w:bottom w:type="dxa" w:w="160"/>
              <w:right w:type="dxa" w:w="160"/>
            </w:tcMar>
          </w:tcPr>
          <w:p>
            <w:pPr>
              <w:spacing w:after="60" w:before="0"/>
            </w:pPr>
            <w:r>
              <w:rPr>
                <w:rFonts w:ascii="Arial" w:cs="Arial" w:eastAsia="Arial" w:hAnsi="Arial"/>
                <w:b/>
                <w:bCs/>
                <w:color w:val="0B1F3A"/>
                <w:sz w:val="22"/>
                <w:szCs w:val="22"/>
              </w:rPr>
              <w:t xml:space="preserve">ClickMasters Legal Team</w:t>
            </w:r>
          </w:p>
          <w:p>
            <w:pPr>
              <w:spacing w:after="80" w:before="0"/>
            </w:pPr>
            <w:r>
              <w:rPr>
                <w:rFonts w:ascii="Arial" w:cs="Arial" w:eastAsia="Arial" w:hAnsi="Arial"/>
                <w:b/>
                <w:bCs/>
                <w:color w:val="E8612A"/>
                <w:sz w:val="20"/>
                <w:szCs w:val="20"/>
              </w:rPr>
              <w:t xml:space="preserve">UK GDPR compliance specialists</w:t>
            </w:r>
          </w:p>
          <w:p>
            <w:pPr>
              <w:spacing w:after="0" w:before="0"/>
            </w:pPr>
            <w:r>
              <w:rPr>
                <w:rFonts w:ascii="Arial" w:cs="Arial" w:eastAsia="Arial" w:hAnsi="Arial"/>
                <w:color w:val="1A2332"/>
                <w:sz w:val="20"/>
                <w:szCs w:val="20"/>
              </w:rPr>
              <w:t xml:space="preserve">This guide is for information only. Consult a data protection solicitor for your specific situation.</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Article + FAQPage | "uk gdpr data processor agreement" (2,000/mo)</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color w:val="1A4A8A"/>
        <w:sz w:val="22"/>
        <w:szCs w:val="22"/>
      </w:rPr>
    </w:lvl>
  </w:abstractNum>
  <w:abstractNum w:abstractNumId="4"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b/>
        <w:bCs/>
        <w:color w:val="1A6B47"/>
        <w:sz w:val="22"/>
        <w:szCs w:val="22"/>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60" w:before="360"/>
      <w:outlineLvl w:val="0"/>
    </w:pPr>
    <w:rPr>
      <w:rFonts w:ascii="Arial" w:cs="Arial" w:eastAsia="Arial" w:hAnsi="Arial"/>
      <w:b/>
      <w:bCs/>
      <w:color w:val="0B1F3A"/>
      <w:sz w:val="40"/>
      <w:szCs w:val="40"/>
    </w:rPr>
  </w:style>
  <w:style w:type="paragraph" w:styleId="Heading2">
    <w:name w:val="Heading 2"/>
    <w:basedOn w:val="Normal"/>
    <w:next w:val="Normal"/>
    <w:pPr>
      <w:spacing w:after="140" w:before="300"/>
      <w:outlineLvl w:val="1"/>
    </w:pPr>
    <w:rPr>
      <w:rFonts w:ascii="Arial" w:cs="Arial" w:eastAsia="Arial" w:hAnsi="Arial"/>
      <w:b/>
      <w:bCs/>
      <w:color w:val="0B1F3A"/>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2026-05-26T21:13:42.509Z</dcterms:created>
  <dcterms:modified xsi:type="dcterms:W3CDTF">2026-05-26T21:13:42.509Z</dcterms:modified>
</cp:coreProperties>
</file>

<file path=docProps/custom.xml><?xml version="1.0" encoding="utf-8"?>
<Properties xmlns="http://schemas.openxmlformats.org/officeDocument/2006/custom-properties" xmlns:vt="http://schemas.openxmlformats.org/officeDocument/2006/docPropsVTypes"/>
</file>