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Solutions Architect Salary UK 2026 | ClickMasters
META DESC: Solutions Architect salary UK 2026.
SLUG: /solutions-architect-salary-uk-2026/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Solutions Architect Salary UK 2026</w:t>
      </w:r>
    </w:p>
    <w:p>
      <w:pPr>
        <w:spacing w:after="60" w:before="60"/>
      </w:pPr>
    </w:p>
    <w:p>
      <w:pPr>
        <w:pStyle w:val="Heading1"/>
        <w:spacing w:after="160" w:before="360"/>
      </w:pPr>
      <w:r>
        <w:rPr>
          <w:rFonts w:ascii="Arial" w:cs="Arial" w:eastAsia="Arial" w:hAnsi="Arial"/>
          <w:b/>
          <w:bCs/>
          <w:color w:val="0B1F3A"/>
          <w:sz w:val="40"/>
          <w:szCs w:val="40"/>
        </w:rPr>
        <w:t xml:space="preserve">Solutions Architect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Solutions Architect salaries range from ££90,000 to ££1,450–£2,200/day. Solutions Architect with NHS DTAC technical architecture sign-off (having designed and documented the architecture that passed DTAC all 5 domains) commands the highest NHS premium — only architects who have done this know the evidence requirements. Solutions Architect with FCA PS21/3 IBS architecture design (having designed and documented the IBS map, resilience architecture, and Impact Tolerance evidence for FCA review) commands highest FinTech premium. Solutions Architect with successful due diligence presentation (Series B/C — technical architecture presented to institutional investors) commands growing premium.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Solutions Architects design end-to-end technical solutions — bridging business requirements and engineering implementation. In 2026, the UK Solutions Architect role has split clearly: cloud architects (AWS/Azure infrastructure design), application architects (system design and service architecture), and enterprise architects (organisation-wide technology strategy). All three command premium in UK regulated sectors.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Solutions Architect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Developer (aspirant SA)</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£90,000–£130,000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£600–£830/day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£112,020–£154,878</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Solutions Architect (3–6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£130,000–£185,000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£820–£1,150/day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£153,012–£214,590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Solutions Architect</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£175,000–£250,000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£1,100–£1,560/day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£205,260–£291,120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Chief Architect / VP Architecture</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£230,000–£360,000+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£1,450–£2,200/day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£270,630–£410,520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Solutions Architect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£175,000–£250,000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Cloud Architect Salary UK: /cloud-architect-salary-uk-2026/</w:t>
      </w:r>
    </w:p>
    <w:p>
      <w:pPr>
        <w:pStyle w:val="ListParagraph"/>
        <w:numPr>
          <w:ilvl w:val="0"/>
          <w:numId w:val="2"/>
        </w:numPr>
        <w:spacing w:after="60" w:before="60"/>
      </w:pPr>
      <w:r>
        <w:rPr>
          <w:rFonts w:ascii="Arial" w:cs="Arial" w:eastAsia="Arial" w:hAnsi="Arial"/>
          <w:color w:val="1A4A8A"/>
          <w:sz w:val="22"/>
          <w:szCs w:val="22"/>
        </w:rPr>
        <w:t xml:space="preserve">Technical Lead Salary UK: /technical-lead-salary-uk-2026/</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Solutions Architect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Solutions Architect specialists</w:t>
            </w:r>
          </w:p>
          <w:p>
            <w:pPr>
              <w:spacing w:after="0" w:before="0"/>
            </w:pPr>
            <w:r>
              <w:rPr>
                <w:rFonts w:ascii="Arial" w:cs="Arial" w:eastAsia="Arial" w:hAnsi="Arial"/>
                <w:color w:val="1A2332"/>
                <w:sz w:val="20"/>
                <w:szCs w:val="20"/>
              </w:rPr>
              <w:t xml:space="preserve">Annual guide. Updated March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"solutions architect salary uk" (2000/mo)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2026-06-05T11:34:53.462Z</dcterms:created>
  <dcterms:modified xsi:type="dcterms:W3CDTF">2026-06-05T11:34:53.462Z</dcterms:modified>
</cp:coreProperties>
</file>

<file path=docProps/custom.xml><?xml version="1.0" encoding="utf-8"?>
<Properties xmlns="http://schemas.openxmlformats.org/officeDocument/2006/custom-properties" xmlns:vt="http://schemas.openxmlformats.org/officeDocument/2006/docPropsVTypes"/>
</file>