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PropTech Software Development UK — Property Technology, RICS &amp; Land Registry | ClickMasters
META DESC: ClickMasters PropTech software development specialists. MLRs 2017 (AML for estate agents). From £25,000. Free consultation for UK PropTech businesses.
SLUG: /proptech-software-development/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14 min  |  Written by: ClickMasters PropTech Team  |  Reviewed by: James Whitmore, CTO — PropTech sector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PropTech Software Development UK</w:t>
      </w:r>
    </w:p>
    <w:p>
      <w:pPr>
        <w:spacing w:after="60" w:before="60"/>
      </w:pPr>
    </w:p>
    <w:p>
      <w:pPr>
        <w:pStyle w:val="Heading1"/>
        <w:spacing w:after="160" w:before="360"/>
      </w:pPr>
      <w:r>
        <w:rPr>
          <w:rFonts w:ascii="Arial" w:cs="Arial" w:eastAsia="Arial" w:hAnsi="Arial"/>
          <w:b/>
          <w:bCs/>
          <w:color w:val="0B1F3A"/>
          <w:sz w:val="40"/>
          <w:szCs w:val="40"/>
        </w:rPr>
        <w:t xml:space="preserve">PropTech Software Development UK — Property Technology, RICS &amp; Land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Land Registry API</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RICS Guidance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AML for Estate Agents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Rental Payments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Property Market Specialists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PropTech software in the UK operates in a highly regulated property market — with specific requirements for AML compliance (estate agents are regulated under the MLRs 2017), Land Registry API integration, RICS data standards, and UK GDPR for sensitive tenancy and ownership data. Whether you're building a rental management platform, an automated valuation model, a property marketplace, or a conveyancing tool, ClickMasters architects PropTech software with the UK regulatory context built in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UK PropTech Market — Why Compliance Matters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PropTech is a £1bn+ sector — spanning property portals, rental management platforms, conveyancing tools, mortgage technology, commercial property management, and automated valuation models. The UK property market is highly regulated: estate agents are subject to AML regulations, the Land Registry holds the authoritative property register, and RICS sets professional standards for valuation and surveying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PropTech Software Requirements — What You Must Get Right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the UK PropTech sector addresses these regulatory and technical requirements:</w:t>
      </w:r>
    </w:p>
    <w:p>
      <w:pPr>
        <w:spacing w:after="60" w:before="60"/>
      </w:pPr>
    </w:p>
    <w:p>
      <w:pPr>
        <w:spacing w:after="160" w:before="100"/>
      </w:pPr>
      <w:r>
        <w:rPr>
          <w:rFonts w:ascii="Arial" w:cs="Arial" w:eastAsia="Arial" w:hAnsi="Arial"/>
          <w:b/>
          <w:bCs/>
          <w:i w:val="false"/>
          <w:iCs w:val="false"/>
          <w:color w:val="E8612A"/>
          <w:sz w:val="22"/>
          <w:szCs w:val="22"/>
        </w:rPr>
        <w:t xml:space="preserve">AML for Estate Agents (MLRs 2017): </w:t>
      </w:r>
      <w:r>
        <w:rPr>
          <w:rFonts w:ascii="Arial" w:cs="Arial" w:eastAsia="Arial" w:hAnsi="Arial"/>
          <w:b w:val="false"/>
          <w:bCs w:val="false"/>
          <w:i w:val="false"/>
          <w:iCs w:val="false"/>
          <w:color w:val="1A2332"/>
          <w:sz w:val="22"/>
          <w:szCs w:val="22"/>
        </w:rPr>
        <w:t xml:space="preserve">Estate agents and businesses involved in property transactions are regulated under the Money Laundering Regulations 2017. Software must support: customer due diligence (identity verification for buyers and sellers), enhanced due diligence for high-value transactions (over £85,000), beneficial ownership verification, source of funds checks, and suspicious activity reporting. HMRC supervises estate agent AML compliance — not the FCA.</w:t>
      </w:r>
    </w:p>
    <w:p>
      <w:pPr>
        <w:spacing w:after="60" w:before="60"/>
      </w:pPr>
    </w:p>
    <w:p>
      <w:pPr>
        <w:spacing w:after="160" w:before="100"/>
      </w:pPr>
      <w:r>
        <w:rPr>
          <w:rFonts w:ascii="Arial" w:cs="Arial" w:eastAsia="Arial" w:hAnsi="Arial"/>
          <w:b/>
          <w:bCs/>
          <w:i w:val="false"/>
          <w:iCs w:val="false"/>
          <w:color w:val="E8612A"/>
          <w:sz w:val="22"/>
          <w:szCs w:val="22"/>
        </w:rPr>
        <w:t xml:space="preserve">Land Registry API Integration: </w:t>
      </w:r>
      <w:r>
        <w:rPr>
          <w:rFonts w:ascii="Arial" w:cs="Arial" w:eastAsia="Arial" w:hAnsi="Arial"/>
          <w:b w:val="false"/>
          <w:bCs w:val="false"/>
          <w:i w:val="false"/>
          <w:iCs w:val="false"/>
          <w:color w:val="1A2332"/>
          <w:sz w:val="22"/>
          <w:szCs w:val="22"/>
        </w:rPr>
        <w:t xml:space="preserve">HM Land Registry provides a suite of APIs for property data: Search for Land and Property (address, title details, boundary), Official Copy (authenticated title register data), and Title Register and Title Plan. These APIs are valuable for: automated valuation models (AVMs), property verification, conveyancing automation, and lease management. Rate limits and authentication requirements apply.</w:t>
      </w:r>
    </w:p>
    <w:p>
      <w:pPr>
        <w:spacing w:after="60" w:before="60"/>
      </w:pPr>
    </w:p>
    <w:p>
      <w:pPr>
        <w:spacing w:after="160" w:before="100"/>
      </w:pPr>
      <w:r>
        <w:rPr>
          <w:rFonts w:ascii="Arial" w:cs="Arial" w:eastAsia="Arial" w:hAnsi="Arial"/>
          <w:b/>
          <w:bCs/>
          <w:i w:val="false"/>
          <w:iCs w:val="false"/>
          <w:color w:val="E8612A"/>
          <w:sz w:val="22"/>
          <w:szCs w:val="22"/>
        </w:rPr>
        <w:t xml:space="preserve">Rightmove and Zoopla Data Feeds: </w:t>
      </w:r>
      <w:r>
        <w:rPr>
          <w:rFonts w:ascii="Arial" w:cs="Arial" w:eastAsia="Arial" w:hAnsi="Arial"/>
          <w:b w:val="false"/>
          <w:bCs w:val="false"/>
          <w:i w:val="false"/>
          <w:iCs w:val="false"/>
          <w:color w:val="1A2332"/>
          <w:sz w:val="22"/>
          <w:szCs w:val="22"/>
        </w:rPr>
        <w:t xml:space="preserve">Property portals (Rightmove, Zoopla, OnTheMarket) provide data feeds for their property listings. Integration requires commercial agreements (Rightmove Data Feed, Zoopla Property Data API). Data usage is strictly licensed — property listing data cannot be used for training AI models without explicit permission.</w:t>
      </w:r>
    </w:p>
    <w:p>
      <w:pPr>
        <w:spacing w:after="60" w:before="60"/>
      </w:pPr>
    </w:p>
    <w:p>
      <w:pPr>
        <w:spacing w:after="160" w:before="100"/>
      </w:pPr>
      <w:r>
        <w:rPr>
          <w:rFonts w:ascii="Arial" w:cs="Arial" w:eastAsia="Arial" w:hAnsi="Arial"/>
          <w:b/>
          <w:bCs/>
          <w:i w:val="false"/>
          <w:iCs w:val="false"/>
          <w:color w:val="E8612A"/>
          <w:sz w:val="22"/>
          <w:szCs w:val="22"/>
        </w:rPr>
        <w:t xml:space="preserve">GoCardless for Rental Payments: </w:t>
      </w:r>
      <w:r>
        <w:rPr>
          <w:rFonts w:ascii="Arial" w:cs="Arial" w:eastAsia="Arial" w:hAnsi="Arial"/>
          <w:b w:val="false"/>
          <w:bCs w:val="false"/>
          <w:i w:val="false"/>
          <w:iCs w:val="false"/>
          <w:color w:val="1A2332"/>
          <w:sz w:val="22"/>
          <w:szCs w:val="22"/>
        </w:rPr>
        <w:t xml:space="preserve">Rental payment collection via direct debit (GoCardless) is the most common PropTech payment architecture. GoCardless supports: variable direct debit mandates (for variable rent), recurring payments, instant bank payment verification, and failure handling with configurable retry logic. FCA e-money regulation applies to platforms holding client funds.</w:t>
      </w:r>
    </w:p>
    <w:p>
      <w:pPr>
        <w:spacing w:after="60" w:before="60"/>
      </w:pPr>
    </w:p>
    <w:p>
      <w:pPr>
        <w:spacing w:after="160" w:before="100"/>
      </w:pPr>
      <w:r>
        <w:rPr>
          <w:rFonts w:ascii="Arial" w:cs="Arial" w:eastAsia="Arial" w:hAnsi="Arial"/>
          <w:b/>
          <w:bCs/>
          <w:i w:val="false"/>
          <w:iCs w:val="false"/>
          <w:color w:val="E8612A"/>
          <w:sz w:val="22"/>
          <w:szCs w:val="22"/>
        </w:rPr>
        <w:t xml:space="preserve">RICS Professional Standards: </w:t>
      </w:r>
      <w:r>
        <w:rPr>
          <w:rFonts w:ascii="Arial" w:cs="Arial" w:eastAsia="Arial" w:hAnsi="Arial"/>
          <w:b w:val="false"/>
          <w:bCs w:val="false"/>
          <w:i w:val="false"/>
          <w:iCs w:val="false"/>
          <w:color w:val="1A2332"/>
          <w:sz w:val="22"/>
          <w:szCs w:val="22"/>
        </w:rPr>
        <w:t xml:space="preserve">The Royal Institution of Chartered Surveyors (RICS) sets professional standards for property valuation and data. AVMs (automated valuation models) must disclose their methodology and confidence intervals. RICS Red Book valuation standards govern formal valuations. PropTech tools providing property valuations must be careful about the distinction between indicative market data and formal RICS valuations.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PropTech Software Compliance — What ClickMasters Implements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Compliance requirements for PropTech software in the UK:</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MLRs 2017 (AML for estate agents) |  UK GDPR |  RICS |  Land Registry API |  Equality Act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PropTech Software Development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Rental Management Platform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Tenant/landlord portal, direct debit rent collection, maintenance requests, deposit protection. From £35,000.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Property Search &amp; Portal</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Search interface, Rightmove/Zoopla data integration, saved searches, alerts. From £25,000.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Automated Valuation Model</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Land Registry data, Rightmove/Zoopla comparables, ML valuation model. From £40,000.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Conveyancing Tool</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Workflow management, document exchange, Land Registry integration, AML checks. From £45,000.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PropTech SaaS Platform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Multi-tenant PropTech SaaS for agents or landlords. AML-compliant data architecture. From £55,000.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PropTech Software Development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Are estate agents required to do AML checks?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estate agents and commercial property businesses are supervised by HMRC for AML compliance under the Money Laundering Regulations 2017. Software must support: customer due diligence (ID verification for buyers and sellers in transactions above £10,000), enhanced due diligence for high-risk clients, documentation of CDD evidence, and suspicious activity reports to the MLRO. HMRC carries out AML supervision visits and can issue substantial penalties for non-compliance.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use Land Registry data to train an AI model?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HMLR Open Data (available under Open Government Licence) can be used for training AI models — this includes the Price Paid Dataset and Commercial and Corporate Ownership data. However, data obtained via the HMLR API (Official Copy, title register data) is licensed for specific use and may not be used for AI training without explicit permission. Always check the specific licence terms for the data you're using.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AML Compliance Software UK: /aml-compliance-software-uk/</w:t>
      </w:r>
    </w:p>
    <w:p>
      <w:pPr>
        <w:pStyle w:val="ListParagraph"/>
        <w:numPr>
          <w:ilvl w:val="0"/>
          <w:numId w:val="3"/>
        </w:numPr>
        <w:spacing w:after="60" w:before="60"/>
      </w:pPr>
      <w:r>
        <w:rPr>
          <w:rFonts w:ascii="Arial" w:cs="Arial" w:eastAsia="Arial" w:hAnsi="Arial"/>
          <w:b w:val="false"/>
          <w:bCs w:val="false"/>
          <w:color w:val="1A2332"/>
          <w:sz w:val="22"/>
          <w:szCs w:val="22"/>
        </w:rPr>
        <w:t xml:space="preserve">PropTech Software London: /proptech-software-development-london/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Payment Integration UK: /payment-integration-uk/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PropTech Software — Free Consultation</w:t>
            </w:r>
          </w:p>
          <w:p>
            <w:pPr>
              <w:spacing w:after="160" w:before="0"/>
            </w:pPr>
            <w:r>
              <w:rPr>
                <w:rFonts w:ascii="Arial" w:cs="Arial" w:eastAsia="Arial" w:hAnsi="Arial"/>
                <w:color w:val="BDD0E8"/>
                <w:sz w:val="22"/>
                <w:szCs w:val="22"/>
              </w:rPr>
              <w:t xml:space="preserve">Book a free 45-minute consultation with a PropTech specialist engineer. We'll review your requirements and give you a realistic cost and compliance roadmap.</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PropTech Development Team</w:t>
            </w:r>
          </w:p>
          <w:p>
            <w:pPr>
              <w:spacing w:after="80" w:before="0"/>
            </w:pPr>
            <w:r>
              <w:rPr>
                <w:rFonts w:ascii="Arial" w:cs="Arial" w:eastAsia="Arial" w:hAnsi="Arial"/>
                <w:b/>
                <w:bCs/>
                <w:color w:val="E8612A"/>
                <w:sz w:val="20"/>
                <w:szCs w:val="20"/>
              </w:rPr>
              <w:t xml:space="preserve">PropTech software specialists — MLRs 2017 (AML for estate agents),  UK GDPR compliance</w:t>
            </w:r>
          </w:p>
          <w:p>
            <w:pPr>
              <w:spacing w:after="0" w:before="0"/>
            </w:pPr>
            <w:r>
              <w:rPr>
                <w:rFonts w:ascii="Arial" w:cs="Arial" w:eastAsia="Arial" w:hAnsi="Arial"/>
                <w:color w:val="1A2332"/>
                <w:sz w:val="20"/>
                <w:szCs w:val="20"/>
              </w:rPr>
              <w:t xml:space="preserve">ClickMasters has built PropTech software for UK businesses across the compliance requirements described above. This guide reflects real project experience, not theoretical knowledge.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Organization | Target KW: "proptech software development uk" (500–2,500/mo)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2026-05-21T06:47:57.867Z</dcterms:created>
  <dcterms:modified xsi:type="dcterms:W3CDTF">2026-05-21T06:47:57.867Z</dcterms:modified>
</cp:coreProperties>
</file>

<file path=docProps/custom.xml><?xml version="1.0" encoding="utf-8"?>
<Properties xmlns="http://schemas.openxmlformats.org/officeDocument/2006/custom-properties" xmlns:vt="http://schemas.openxmlformats.org/officeDocument/2006/docPropsVTypes"/>
</file>