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SME Working Capital Platform — UK Alternative Lender — ClickMasters Case Study
META DESC: A UK FCA-authorised alternative lender providing invoice financing and revolving credit facilities to 2,400 UK...
SLUG: /case-studies/fintech-sme-working-capital-platform/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SME Working Capital Platform — UK Alternative Lender</w:t>
      </w:r>
    </w:p>
    <w:p>
      <w:pPr>
        <w:spacing w:after="60" w:before="60"/>
      </w:pPr>
    </w:p>
    <w:p>
      <w:pPr>
        <w:pStyle w:val="Heading1"/>
        <w:spacing w:after="160" w:before="360"/>
      </w:pPr>
      <w:r>
        <w:rPr>
          <w:rFonts w:ascii="Arial" w:cs="Arial" w:eastAsia="Arial" w:hAnsi="Arial"/>
          <w:b/>
          <w:bCs/>
          <w:color w:val="0B1F3A"/>
          <w:sz w:val="40"/>
          <w:szCs w:val="40"/>
        </w:rPr>
        <w:t xml:space="preserve">FinTech SME Working Capital Platform — UK Alternative Lender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SME Lending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SME Lending | Tech: React, Node.js/Fastify, PostgreSQL, TrueLayer AISP, Experian Commercial API, HMRC Business Tax API, Google Cloud Vision, Companies House API, DocuSign, Dow Jones, AWS eu-west-2 | Compliance: FCA CONC, FCA Consumer Duty, MLRs 2017 AML, UK GDPR, Companies House API terms, HMRC RTI data sharing,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alternative lender providing invoice financing and revolving credit facilities to 2,400 UK SMEs needed to rebuild their legacy lending platform — automating credit decisioning, Open Banking affordability, and invoice verification. FCA CONC (Consumer Credit Act for regulated credit agreements), FCA Consumer Duty, MLRs 2017 AML, Companies House verification, and HMRC RTI (payroll data for creditworthiness) were the requirements. Budget: £150,000.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Automated Credit Decisioning Engine: </w:t>
      </w:r>
      <w:r>
        <w:rPr>
          <w:rFonts w:ascii="Arial" w:cs="Arial" w:eastAsia="Arial" w:hAnsi="Arial"/>
          <w:b w:val="false"/>
          <w:bCs w:val="false"/>
          <w:i w:val="false"/>
          <w:iCs w:val="false"/>
          <w:color w:val="1A2332"/>
          <w:sz w:val="22"/>
          <w:szCs w:val="22"/>
        </w:rPr>
        <w:t xml:space="preserve">Credit decision framework: CCJ/IVA/bankruptcy check (Experian Commercial), credit score (Experian Commercial Score 0–100), financial performance (Open Banking AISP — 12 months bank statement analysis), trading history (Companies House — date of incorporation, filing history, accounts), and industry risk (Companies House SIC code → industry risk score). Decision outcomes: auto-approve (meets all criteria, instant offer), refer (borderline — underwriter review within 4 hours), auto-decline (fails hard criteria with CONC 7 decline reason provided).</w:t>
      </w:r>
    </w:p>
    <w:p>
      <w:pPr>
        <w:spacing w:after="160" w:before="100"/>
      </w:pPr>
      <w:r>
        <w:rPr>
          <w:rFonts w:ascii="Arial" w:cs="Arial" w:eastAsia="Arial" w:hAnsi="Arial"/>
          <w:b/>
          <w:bCs/>
          <w:i w:val="false"/>
          <w:iCs w:val="false"/>
          <w:color w:val="E8612A"/>
          <w:sz w:val="22"/>
          <w:szCs w:val="22"/>
        </w:rPr>
        <w:t xml:space="preserve">Invoice Verification and Fraud Prevention: </w:t>
      </w:r>
      <w:r>
        <w:rPr>
          <w:rFonts w:ascii="Arial" w:cs="Arial" w:eastAsia="Arial" w:hAnsi="Arial"/>
          <w:b w:val="false"/>
          <w:bCs w:val="false"/>
          <w:i w:val="false"/>
          <w:iCs w:val="false"/>
          <w:color w:val="1A2332"/>
          <w:sz w:val="22"/>
          <w:szCs w:val="22"/>
        </w:rPr>
        <w:t xml:space="preserve">Invoice financing: SME submits invoice (PDF) → OCR extraction (Google Cloud Vision — merchant, amount, VAT, invoice date) → debtors ledger check (cross-reference against existing invoices — duplicate detection) → debtor creditworthiness (Experian Business) → funding offer. Fraud prevention: invoice verification webhook — call debtor to confirm invoice authentic before funding (for invoices &gt; £10,000). Concentration limit: maximum 25% of facility to a single debtor — automatic enforcement.</w:t>
      </w:r>
    </w:p>
    <w:p>
      <w:pPr>
        <w:spacing w:after="160" w:before="100"/>
      </w:pPr>
      <w:r>
        <w:rPr>
          <w:rFonts w:ascii="Arial" w:cs="Arial" w:eastAsia="Arial" w:hAnsi="Arial"/>
          <w:b/>
          <w:bCs/>
          <w:i w:val="false"/>
          <w:iCs w:val="false"/>
          <w:color w:val="E8612A"/>
          <w:sz w:val="22"/>
          <w:szCs w:val="22"/>
        </w:rPr>
        <w:t xml:space="preserve">HMRC RTI Payroll Data Integration: </w:t>
      </w:r>
      <w:r>
        <w:rPr>
          <w:rFonts w:ascii="Arial" w:cs="Arial" w:eastAsia="Arial" w:hAnsi="Arial"/>
          <w:b w:val="false"/>
          <w:bCs w:val="false"/>
          <w:i w:val="false"/>
          <w:iCs w:val="false"/>
          <w:color w:val="1A2332"/>
          <w:sz w:val="22"/>
          <w:szCs w:val="22"/>
        </w:rPr>
        <w:t xml:space="preserve">HMRC Real Time Information (RTI) access for credit assessment: HMRC Business Tax Account API — SME consents to HMRC sharing their RTI payroll data with the lender. RTI data: number of employees, total PAYE liability, payment history (PAYE paid on time or late). Credit assessment use: PAYE arrears is a leading indicator of financial distress — integrated into credit score weighting. HMRC consent: SME authorises HMRC data sharing at application (OAuth 2.0 — separate Government Gateway consent).</w:t>
      </w:r>
    </w:p>
    <w:p>
      <w:pPr>
        <w:spacing w:after="160" w:before="100"/>
      </w:pPr>
      <w:r>
        <w:rPr>
          <w:rFonts w:ascii="Arial" w:cs="Arial" w:eastAsia="Arial" w:hAnsi="Arial"/>
          <w:b/>
          <w:bCs/>
          <w:i w:val="false"/>
          <w:iCs w:val="false"/>
          <w:color w:val="E8612A"/>
          <w:sz w:val="22"/>
          <w:szCs w:val="22"/>
        </w:rPr>
        <w:t xml:space="preserve">FCA CONC Credit Agreement Automation: </w:t>
      </w:r>
      <w:r>
        <w:rPr>
          <w:rFonts w:ascii="Arial" w:cs="Arial" w:eastAsia="Arial" w:hAnsi="Arial"/>
          <w:b w:val="false"/>
          <w:bCs w:val="false"/>
          <w:i w:val="false"/>
          <w:iCs w:val="false"/>
          <w:color w:val="1A2332"/>
          <w:sz w:val="22"/>
          <w:szCs w:val="22"/>
        </w:rPr>
        <w:t xml:space="preserve">FCA CONC: regulated credit agreements for SME lending. Pre-contract information (Pre-Contract Credit Information — PCCI) presented before agreement execution. Regulated credit agreement: digital agreement (DocuSign eSignature), CONC-required terms (APR prominently displayed, total charge for credit, right to withdraw). FCA Consumer Duty: for credit products, value assessment required — cost of credit vs benchmark (FCA CONC rate cap for small business lending where applicable).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£142,000 — under budget. Credit decision time: 3.2 days (manual) → 22 minutes (auto-approve) / 4.1 hours (referral). Auto-approve rate: 58% (target: 55%). SME application completion rate: 78% (legacy platform: 41%). Invoice fraud detection: 12 duplicate invoice attempts flagged in first 6 months. FCA CONC compliance: legal review confirmed all credit agreements compliant. AML 100% KYC completion.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"22-minute decision for auto-approvals versus 3.2 days. SME application completion from 41% to 78% — we were losing most applicants on the old platform. 12 duplicate invoice fraud attempts flagged in 6 months — that is £180,000 in prevented fraud losses. FCA CONC legal review confirmed compliant first submission." — CEO, UK Alternative SME Lender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TrueLayer AISP, Experian Commercial API, HMRC Business Tax API, Google Cloud Vision, Companies House API, DocuSign, Dow Jones,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CONC, FCA Consumer Duty, MLRs 2017 AML, UK GDPR, Companies House API terms, HMRC RTI data sharing,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sme lending platform uk, invoice financing software uk, alternative lender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2026-05-29T13:46:21.614Z</dcterms:created>
  <dcterms:modified xsi:type="dcterms:W3CDTF">2026-05-29T13:46:21.614Z</dcterms:modified>
</cp:coreProperties>
</file>

<file path=docProps/custom.xml><?xml version="1.0" encoding="utf-8"?>
<Properties xmlns="http://schemas.openxmlformats.org/officeDocument/2006/custom-properties" xmlns:vt="http://schemas.openxmlformats.org/officeDocument/2006/docPropsVTypes"/>
</file>