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PropTech UK | ClickMasters
META DESC: API Development for UK PropTech. UK GDPR. £8,000–£50,000.
SLUG: /proptech-api-development/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PropTech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PropTech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PropTech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PropTech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PropTech businesses with UK GDPR,  HMLR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PropTech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Key UK PropTech APIs: </w:t>
      </w:r>
      <w:r>
        <w:rPr>
          <w:rFonts w:ascii="Arial" w:cs="Arial" w:eastAsia="Arial" w:hAnsi="Arial"/>
          <w:b w:val="false"/>
          <w:bCs w:val="false"/>
          <w:i w:val="false"/>
          <w:iCs w:val="false"/>
          <w:color w:val="1A2332"/>
          <w:sz w:val="22"/>
          <w:szCs w:val="22"/>
        </w:rPr>
        <w:t xml:space="preserve">Essential UK PropTech APIs: OS Places (UPRN lookup, address validation, property classification — £300/year or free tier for SMEs), HMLR Business Gateway (title register, price paid, charges — free to register), EPC Register (Energy Performance Certificate ratings — free API via DLUHC), Companies House (company ownership, director verification — free), HMRC SDLT (Stamp Duty Land Tax calculation — public web service), Ordnance Survey National Geographic Database (OS NGD — building heights, terrain data — OS subscription).</w:t>
      </w:r>
    </w:p>
    <w:p>
      <w:pPr>
        <w:spacing w:after="60" w:before="60"/>
      </w:pPr>
    </w:p>
    <w:p>
      <w:pPr>
        <w:spacing w:after="160" w:before="100"/>
      </w:pPr>
      <w:r>
        <w:rPr>
          <w:rFonts w:ascii="Arial" w:cs="Arial" w:eastAsia="Arial" w:hAnsi="Arial"/>
          <w:b/>
          <w:bCs/>
          <w:i w:val="false"/>
          <w:iCs w:val="false"/>
          <w:color w:val="E8612A"/>
          <w:sz w:val="22"/>
          <w:szCs w:val="22"/>
        </w:rPr>
        <w:t xml:space="preserve">HMLR API Integration for PropTech: </w:t>
      </w:r>
      <w:r>
        <w:rPr>
          <w:rFonts w:ascii="Arial" w:cs="Arial" w:eastAsia="Arial" w:hAnsi="Arial"/>
          <w:b w:val="false"/>
          <w:bCs w:val="false"/>
          <w:i w:val="false"/>
          <w:iCs w:val="false"/>
          <w:color w:val="1A2332"/>
          <w:sz w:val="22"/>
          <w:szCs w:val="22"/>
        </w:rPr>
        <w:t xml:space="preserve">HMLR Business Gateway: REST API providing property title, ownership, charges, and price paid data. Authentication: HMLR subscriber account (free registration — HMLR charges per request after free tier). Key endpoints: Title Register (ownership, charges, covenants), Title Plan (boundary map), Price Paid (historical sale prices by postcode). HMLR Use Case Restriction: data use is restricted per HMLR licence — commercial use requires HM Land Registry Open Data licence. PropTech product APIs: ClickMasters ensures HMLR licence compliance in all PropTech integrations.</w:t>
      </w:r>
    </w:p>
    <w:p>
      <w:pPr>
        <w:spacing w:after="60" w:before="60"/>
      </w:pPr>
    </w:p>
    <w:p>
      <w:pPr>
        <w:spacing w:after="160" w:before="100"/>
      </w:pPr>
      <w:r>
        <w:rPr>
          <w:rFonts w:ascii="Arial" w:cs="Arial" w:eastAsia="Arial" w:hAnsi="Arial"/>
          <w:b/>
          <w:bCs/>
          <w:i w:val="false"/>
          <w:iCs w:val="false"/>
          <w:color w:val="E8612A"/>
          <w:sz w:val="22"/>
          <w:szCs w:val="22"/>
        </w:rPr>
        <w:t xml:space="preserve">Open Banking for Property Transactions: </w:t>
      </w:r>
      <w:r>
        <w:rPr>
          <w:rFonts w:ascii="Arial" w:cs="Arial" w:eastAsia="Arial" w:hAnsi="Arial"/>
          <w:b w:val="false"/>
          <w:bCs w:val="false"/>
          <w:i w:val="false"/>
          <w:iCs w:val="false"/>
          <w:color w:val="1A2332"/>
          <w:sz w:val="22"/>
          <w:szCs w:val="22"/>
        </w:rPr>
        <w:t xml:space="preserve">UK Open Banking (TrueLayer/Yapi) for property: affordability assessment (12 months bank statement analysis for mortgage or rental affordability), deposit verification (source of funds — anti-money laundering for estate agents), and payment initiation (deposit payment via Faster Payments — replaces cheque). AML for property: estate agents must conduct source of funds checks under MLRs 2017. Open Banking AISP provides electronic source of funds evidence — stronger than paper bank statements.</w:t>
      </w:r>
    </w:p>
    <w:p>
      <w:pPr>
        <w:spacing w:after="60" w:before="60"/>
      </w:pPr>
    </w:p>
    <w:p>
      <w:pPr>
        <w:spacing w:after="160" w:before="100"/>
      </w:pPr>
      <w:r>
        <w:rPr>
          <w:rFonts w:ascii="Arial" w:cs="Arial" w:eastAsia="Arial" w:hAnsi="Arial"/>
          <w:b/>
          <w:bCs/>
          <w:i w:val="false"/>
          <w:iCs w:val="false"/>
          <w:color w:val="E8612A"/>
          <w:sz w:val="22"/>
          <w:szCs w:val="22"/>
        </w:rPr>
        <w:t xml:space="preserve">OS Places API Integration for PropTech: </w:t>
      </w:r>
      <w:r>
        <w:rPr>
          <w:rFonts w:ascii="Arial" w:cs="Arial" w:eastAsia="Arial" w:hAnsi="Arial"/>
          <w:b w:val="false"/>
          <w:bCs w:val="false"/>
          <w:i w:val="false"/>
          <w:iCs w:val="false"/>
          <w:color w:val="1A2332"/>
          <w:sz w:val="22"/>
          <w:szCs w:val="22"/>
        </w:rPr>
        <w:t xml:space="preserve">OS Places API: address validation (UK PAF — Postcode Address File), UPRN (Unique Property Reference Number — links all datasets about a property), property classification (residential, commercial, industrial), and building polygon (property boundary from OS MasterMap). UPRN as master identifier: all UK PropTech APIs can be linked via UPRN — OS Places UPRN links to HMLR title, EPC certificate, Ordnance Survey building data, and council tax band (VOA). ClickMasters uses UPRN as the primary key for all property records in PropTech systems.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HMLR, OS Places, Companies House, EPC Register, Homes England,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Which property APIs are free for UK PropTech?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Free UK PropTech APIs: HMLR Price Paid Data (commercial licence required for product use — check HMLR OS licensing), HMLR Title Register (subscription-based, cost per request), Companies House API (free, unlimited), EPC Register API (free), DVLA KADOE (licensed per use case), Environment Agency flood risk API (free), OS Names API (free tier — 250,000 requests/year). Most OS data: requires OS data partner agreement. ClickMasters manages all PropTech API licences as part of Technical Discovery.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UPRN and why is it important for PropTech?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UPRN (Unique Property Reference Number): every addressable location in Great Britain has a UPRN — a persistent, unique number that does not change even if the address changes. Why it matters for PropTech: UPRN links all official UK datasets about a property (HMLR title, EPC, OS building data, council records, flood risk, broadband coverage). Using UPRN as a primary key in PropTech platforms enables reliable joining across datasets without address-matching errors. UPRNs are available via OS Places API and have been freely licensed since 2020.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PropTech Software Development UK: /proptech-software-development/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HMLR Integration Guide UK: /hmlr-api-integration-guide-uk/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PropTech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PropTech Team</w:t>
            </w:r>
          </w:p>
          <w:p>
            <w:pPr>
              <w:spacing w:after="80" w:before="0"/>
            </w:pPr>
            <w:r>
              <w:rPr>
                <w:rFonts w:ascii="Arial" w:cs="Arial" w:eastAsia="Arial" w:hAnsi="Arial"/>
                <w:b/>
                <w:bCs/>
                <w:color w:val="E8612A"/>
                <w:sz w:val="20"/>
                <w:szCs w:val="20"/>
              </w:rPr>
              <w:t xml:space="preserve">PropTech specialists</w:t>
            </w:r>
          </w:p>
          <w:p>
            <w:pPr>
              <w:spacing w:after="0" w:before="0"/>
            </w:pPr>
            <w:r>
              <w:rPr>
                <w:rFonts w:ascii="Arial" w:cs="Arial" w:eastAsia="Arial" w:hAnsi="Arial"/>
                <w:color w:val="1A2332"/>
                <w:sz w:val="20"/>
                <w:szCs w:val="20"/>
              </w:rPr>
              <w:t xml:space="preserve">Delivering API Development for UK PropTech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"proptech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2026-05-31T03:00:00.465Z</dcterms:created>
  <dcterms:modified xsi:type="dcterms:W3CDTF">2026-05-31T03:00:00.465Z</dcterms:modified>
</cp:coreProperties>
</file>

<file path=docProps/custom.xml><?xml version="1.0" encoding="utf-8"?>
<Properties xmlns="http://schemas.openxmlformats.org/officeDocument/2006/custom-properties" xmlns:vt="http://schemas.openxmlformats.org/officeDocument/2006/docPropsVTypes"/>
</file>