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FinTech Buy Now Pay Later Platform — UK Regulated BNPL Provider — ClickMasters Case Study
META DESC: A UK financial services group wanted to launch a regulated Buy Now Pay Later (BNPL) product for UK retail part...
SLUG: /case-studies/fintech-buy-now-pay-later-regulated/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September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FinTech Buy Now Pay Later Platform — UK Regulated BNPL Provider</w:t>
      </w:r>
    </w:p>
    <w:p>
      <w:pPr>
        <w:spacing w:after="60" w:before="60"/>
      </w:pPr>
    </w:p>
    <w:p>
      <w:pPr>
        <w:pStyle w:val="Heading1"/>
        <w:spacing w:after="160" w:before="360"/>
      </w:pPr>
      <w:r>
        <w:rPr>
          <w:rFonts w:ascii="Arial" w:cs="Arial" w:eastAsia="Arial" w:hAnsi="Arial"/>
          <w:b/>
          <w:bCs/>
          <w:color w:val="0B1F3A"/>
          <w:sz w:val="40"/>
          <w:szCs w:val="40"/>
        </w:rPr>
        <w:t xml:space="preserve">FinTech Buy Now Pay Later Platform — UK Regulated BNPL Provider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FinTech / BNPL</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FinTech / BNPL | Tech: React (widget), Node.js/Fastify, PostgreSQL, Experian API, TrueLayer AISP, Companies House, Creditsafe, DocuSign, GOV.UK Notify, AWS eu-west-2 | Compliance: FCA CONC, FSMA 2023 BNPL regulation, FCA Consumer Duty (PS22/9), UK GDPR (credit data), MLRs 2017 AML,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financial services group wanted to launch a regulated Buy Now Pay Later (BNPL) product for UK retail partners — following the FCA's decision to bring BNPL into regulation under the Financial Services and Markets Act 2023. FCA CONC (Consumer Credit Act), FCA Consumer Duty PS22/9, FCA affordability assessment requirements for BNPL, ICO UK GDPR for credit data, Companies House verification, and AML (MLRs 2017) were mandatory. The platform needed to integrate with 85 retail partners via API. Budget: £140,000.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FCA BNPL Regulatory Architecture: </w:t>
      </w:r>
      <w:r>
        <w:rPr>
          <w:rFonts w:ascii="Arial" w:cs="Arial" w:eastAsia="Arial" w:hAnsi="Arial"/>
          <w:b w:val="false"/>
          <w:bCs w:val="false"/>
          <w:i w:val="false"/>
          <w:iCs w:val="false"/>
          <w:color w:val="1A2332"/>
          <w:sz w:val="22"/>
          <w:szCs w:val="22"/>
        </w:rPr>
        <w:t xml:space="preserve">FSMA 2023 regulated BNPL: interest-free deferred payment agreements are now regulated credit under the Consumer Credit Act. Key FCA requirements: (1) affordability assessment (proportionate to BNPL credit risk — FCA guidance: soft credit check minimum, income verification for larger amounts). (2) CONC pre-contract information: clear BNPL terms before checkout. (3) forbearance: customers in financial difficulty must be offered payment plans. (4) Consumer Duty: value assessment (is BNPL fair value vs alternative finance?), consumer understanding (are BNPL terms understood before purchase?).</w:t>
      </w:r>
    </w:p>
    <w:p>
      <w:pPr>
        <w:spacing w:after="160" w:before="100"/>
      </w:pPr>
      <w:r>
        <w:rPr>
          <w:rFonts w:ascii="Arial" w:cs="Arial" w:eastAsia="Arial" w:hAnsi="Arial"/>
          <w:b/>
          <w:bCs/>
          <w:i w:val="false"/>
          <w:iCs w:val="false"/>
          <w:color w:val="E8612A"/>
          <w:sz w:val="22"/>
          <w:szCs w:val="22"/>
        </w:rPr>
        <w:t xml:space="preserve">Retail Partner API Integration: </w:t>
      </w:r>
      <w:r>
        <w:rPr>
          <w:rFonts w:ascii="Arial" w:cs="Arial" w:eastAsia="Arial" w:hAnsi="Arial"/>
          <w:b w:val="false"/>
          <w:bCs w:val="false"/>
          <w:i w:val="false"/>
          <w:iCs w:val="false"/>
          <w:color w:val="1A2332"/>
          <w:sz w:val="22"/>
          <w:szCs w:val="22"/>
        </w:rPr>
        <w:t xml:space="preserve">85 retail partners: headless BNPL checkout widget (React — drops into any retailer's checkout), BNPL REST API (partner backend integration — order creation, refund, cancellation), webhook events (payment received, late payment, full repayment). OpenAPI 3.0 specification: published to retail partners as machine-readable API documentation (FCA COBS machine-readable disclosure). Partner onboarding: Companies House verification, bank account verification (Creditsafe), and merchant agreement (DocuSign).</w:t>
      </w:r>
    </w:p>
    <w:p>
      <w:pPr>
        <w:spacing w:after="160" w:before="100"/>
      </w:pPr>
      <w:r>
        <w:rPr>
          <w:rFonts w:ascii="Arial" w:cs="Arial" w:eastAsia="Arial" w:hAnsi="Arial"/>
          <w:b/>
          <w:bCs/>
          <w:i w:val="false"/>
          <w:iCs w:val="false"/>
          <w:color w:val="E8612A"/>
          <w:sz w:val="22"/>
          <w:szCs w:val="22"/>
        </w:rPr>
        <w:t xml:space="preserve">Affordability Engine: </w:t>
      </w:r>
      <w:r>
        <w:rPr>
          <w:rFonts w:ascii="Arial" w:cs="Arial" w:eastAsia="Arial" w:hAnsi="Arial"/>
          <w:b w:val="false"/>
          <w:bCs w:val="false"/>
          <w:i w:val="false"/>
          <w:iCs w:val="false"/>
          <w:color w:val="1A2332"/>
          <w:sz w:val="22"/>
          <w:szCs w:val="22"/>
        </w:rPr>
        <w:t xml:space="preserve">Soft credit check: Experian API (soft search — no credit file footprint, customer-consented). Income estimation: open banking AISP (TrueLayer — 3 months income/expenditure) for purchases above £250. Credit limit calculation: purchase history (repeat customers with good repayment get higher limits), Experian score, and income estimation. Credit limit transparency: customer can see their BNPL limit and how it is calculated — FCA Consumer Duty Consumer Understanding.</w:t>
      </w:r>
    </w:p>
    <w:p>
      <w:pPr>
        <w:spacing w:after="160" w:before="100"/>
      </w:pPr>
      <w:r>
        <w:rPr>
          <w:rFonts w:ascii="Arial" w:cs="Arial" w:eastAsia="Arial" w:hAnsi="Arial"/>
          <w:b/>
          <w:bCs/>
          <w:i w:val="false"/>
          <w:iCs w:val="false"/>
          <w:color w:val="E8612A"/>
          <w:sz w:val="22"/>
          <w:szCs w:val="22"/>
        </w:rPr>
        <w:t xml:space="preserve">Late Payment and Collections: </w:t>
      </w:r>
      <w:r>
        <w:rPr>
          <w:rFonts w:ascii="Arial" w:cs="Arial" w:eastAsia="Arial" w:hAnsi="Arial"/>
          <w:b w:val="false"/>
          <w:bCs w:val="false"/>
          <w:i w:val="false"/>
          <w:iCs w:val="false"/>
          <w:color w:val="1A2332"/>
          <w:sz w:val="22"/>
          <w:szCs w:val="22"/>
        </w:rPr>
        <w:t xml:space="preserve">FCA CONC: debt collection must be fair and not cause harm. Late payment flow: Day 3 (SMS reminder — GOV.UK Notify), Day 7 (email reminder with payment link), Day 14 (formal arrears notice — Consumer Duty vulnerable customer assessment), Day 21 (payment plan offer — automatically generated based on outstanding balance and estimated income), Day 60 (default, credit file marker). Vulnerable customer: if customer indicates financial difficulty at any stage, mandatory payment plan offer — no additional fees.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FCA CONC compliance confirmed. Platform live at 20 weeks, £132,000 — under budget. 85 retail partners onboarded in 10 weeks. 84,000 BNPL transactions in first 6 months. Average transaction: £142. Late payment rate: 4.2% (industry benchmark: 6.8% — affordability assessment materially reduces defaults). Payment plan uptake: 68% of customers in arrears accepted payment plan (target: 60%). FCA Consumer Duty review: confirmed compliant. Retail partner NPS: 84.</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"4.2% late payment rate versus 6.8% industry benchmark — the affordability assessment works. 68% of customers in arrears accepted a payment plan — that is the Consumer Duty forbearance obligation met in practice, not just in policy. 85 retail partners onboarded in 10 weeks. FCA Consumer Duty confirmed compliant. The regulatory work was the foundation everything else is built on." — CEO, UK BNPL Provider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(widget), Node.js/Fastify, PostgreSQL, Experian API, TrueLayer AISP, Companies House, Creditsafe, DocuSign, GOV.UK Notify,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CONC, FSMA 2023 BNPL regulation, FCA Consumer Duty (PS22/9), UK GDPR (credit data), MLRs 2017 AML,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bnpl platform uk regulated, buy now pay later software uk, fca bnpl regulation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2026-06-01T07:34:59.010Z</dcterms:created>
  <dcterms:modified xsi:type="dcterms:W3CDTF">2026-06-01T07:34:59.010Z</dcterms:modified>
</cp:coreProperties>
</file>

<file path=docProps/custom.xml><?xml version="1.0" encoding="utf-8"?>
<Properties xmlns="http://schemas.openxmlformats.org/officeDocument/2006/custom-properties" xmlns:vt="http://schemas.openxmlformats.org/officeDocument/2006/docPropsVTypes"/>
</file>