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NHS Patient Flow Management Platform — UK Acute Trust — ClickMasters Case Study
META DESC: An NHS Acute Trust with 620 beds and 72,000 emergency attendances per year wanted a real-time patient flow man...
SLUG: /case-studies/nhs-patient-flow-management/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NHS Patient Flow Management Platform — UK Acute Trust</w:t>
      </w:r>
    </w:p>
    <w:p>
      <w:pPr>
        <w:spacing w:after="60" w:before="60"/>
      </w:pPr>
    </w:p>
    <w:p>
      <w:pPr>
        <w:pStyle w:val="Heading1"/>
        <w:spacing w:after="160" w:before="360"/>
      </w:pPr>
      <w:r>
        <w:rPr>
          <w:rFonts w:ascii="Arial" w:cs="Arial" w:eastAsia="Arial" w:hAnsi="Arial"/>
          <w:b/>
          <w:bCs/>
          <w:color w:val="0B1F3A"/>
          <w:sz w:val="40"/>
          <w:szCs w:val="40"/>
        </w:rPr>
        <w:t xml:space="preserve">NHS Patient Flow Management Platform — UK Acute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Patient Flow</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Patient Flow | Tech: React, Node.js/Socket.IO, PostgreSQL, HAPI FHIR R4, HL7 v2 ADT, NHS England DTOC API, AWS eu-west-2 | Compliance: DTAC all 5 domains, DCB0129, NHS PAS FHIR R4, UK GDPR Article 9, NHS DSP Toolkit,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Acute Trust with 620 beds and 72,000 emergency attendances per year wanted a real-time patient flow management platform — replacing whiteboards and Excel-based bed management. NHS DTAC all 5 domains, DCB0129 (patient flow errors directly cause delayed discharge and deterioration), NHS PAS (Patient Administration System) FHIR R4 integration, WCAG 2.1 AA, UK GDPR Article 9, and NHS DSP Toolkit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Real-Time Bed State Management: </w:t>
      </w:r>
      <w:r>
        <w:rPr>
          <w:rFonts w:ascii="Arial" w:cs="Arial" w:eastAsia="Arial" w:hAnsi="Arial"/>
          <w:b w:val="false"/>
          <w:bCs w:val="false"/>
          <w:i w:val="false"/>
          <w:iCs w:val="false"/>
          <w:color w:val="1A2332"/>
          <w:sz w:val="22"/>
          <w:szCs w:val="22"/>
        </w:rPr>
        <w:t xml:space="preserve">Bed state: every bed (620) has a current state (occupied/vacant/cleaning/blocked/maintenance). State changes: discharge triggers bed cleaning request (housekeeping team mobile app), cleaning complete triggers bed available for allocation, new admission triggers bed allocated. Real-time sync: WebSocket connection (Socket.IO) — all 34 ward displays, 8 bed managers, and 4 flow coordinators see bed state changes within 2 seconds. Prediction: machine learning discharge prediction (historical PAS data + length of stay model) — predicted discharges for next 4 hours shown per ward.</w:t>
      </w:r>
    </w:p>
    <w:p>
      <w:pPr>
        <w:spacing w:after="160" w:before="100"/>
      </w:pPr>
      <w:r>
        <w:rPr>
          <w:rFonts w:ascii="Arial" w:cs="Arial" w:eastAsia="Arial" w:hAnsi="Arial"/>
          <w:b/>
          <w:bCs/>
          <w:i w:val="false"/>
          <w:iCs w:val="false"/>
          <w:color w:val="E8612A"/>
          <w:sz w:val="22"/>
          <w:szCs w:val="22"/>
        </w:rPr>
        <w:t xml:space="preserve">NHS PAS Integration — FHIR R4: </w:t>
      </w:r>
      <w:r>
        <w:rPr>
          <w:rFonts w:ascii="Arial" w:cs="Arial" w:eastAsia="Arial" w:hAnsi="Arial"/>
          <w:b w:val="false"/>
          <w:bCs w:val="false"/>
          <w:i w:val="false"/>
          <w:iCs w:val="false"/>
          <w:color w:val="1A2332"/>
          <w:sz w:val="22"/>
          <w:szCs w:val="22"/>
        </w:rPr>
        <w:t xml:space="preserve">NHS Patient Administration System (PAS) integration: FHIR R4 Patient resource (demographics), Encounter resource (admission/discharge/transfer), and Location resource (ward/bay/bed). PAS systems: Meditech, System C Careflow, Cerner Millennium, Epic — each has FHIR R4 interface (HL7 FHIR Facade pattern for legacy PAS without native FHIR). Real-time ADT (Admission/Discharge/Transfer) events: PAS publishes HL7 v2 ADT messages → flow platform subscribes → FHIR R4 Encounter updated → bed state changed automatically.</w:t>
      </w:r>
    </w:p>
    <w:p>
      <w:pPr>
        <w:spacing w:after="160" w:before="100"/>
      </w:pPr>
      <w:r>
        <w:rPr>
          <w:rFonts w:ascii="Arial" w:cs="Arial" w:eastAsia="Arial" w:hAnsi="Arial"/>
          <w:b/>
          <w:bCs/>
          <w:i w:val="false"/>
          <w:iCs w:val="false"/>
          <w:color w:val="E8612A"/>
          <w:sz w:val="22"/>
          <w:szCs w:val="22"/>
        </w:rPr>
        <w:t xml:space="preserve">Delayed Transfer of Care Tracking: </w:t>
      </w:r>
      <w:r>
        <w:rPr>
          <w:rFonts w:ascii="Arial" w:cs="Arial" w:eastAsia="Arial" w:hAnsi="Arial"/>
          <w:b w:val="false"/>
          <w:bCs w:val="false"/>
          <w:i w:val="false"/>
          <w:iCs w:val="false"/>
          <w:color w:val="1A2332"/>
          <w:sz w:val="22"/>
          <w:szCs w:val="22"/>
        </w:rPr>
        <w:t xml:space="preserve">Delayed Transfer of Care (DTOC): patients medically fit for discharge but awaiting social care, package of care, or community bed. DTOC tracking: each patient flagged with reason code (Code 1: awaiting assessment, Code 2: awaiting public funding, Code 3: awaiting care home placement, Code 16: patient/family choice). DTOC dashboard: live DTOC count, reason distribution, average delay duration. NHS England DTOC reporting: automated daily submission to NHS England DTOC data collection. ClickMasters: DTOC data pipeline from flow platform to NHS England.</w:t>
      </w:r>
    </w:p>
    <w:p>
      <w:pPr>
        <w:spacing w:after="160" w:before="100"/>
      </w:pPr>
      <w:r>
        <w:rPr>
          <w:rFonts w:ascii="Arial" w:cs="Arial" w:eastAsia="Arial" w:hAnsi="Arial"/>
          <w:b/>
          <w:bCs/>
          <w:i w:val="false"/>
          <w:iCs w:val="false"/>
          <w:color w:val="E8612A"/>
          <w:sz w:val="22"/>
          <w:szCs w:val="22"/>
        </w:rPr>
        <w:t xml:space="preserve">DCB0129 Patient Flow Clinical Safety: </w:t>
      </w:r>
      <w:r>
        <w:rPr>
          <w:rFonts w:ascii="Arial" w:cs="Arial" w:eastAsia="Arial" w:hAnsi="Arial"/>
          <w:b w:val="false"/>
          <w:bCs w:val="false"/>
          <w:i w:val="false"/>
          <w:iCs w:val="false"/>
          <w:color w:val="1A2332"/>
          <w:sz w:val="22"/>
          <w:szCs w:val="22"/>
        </w:rPr>
        <w:t xml:space="preserve">Critical safety hazard: bed incorrectly shown as vacant → two admissions for same bed → patient safety incident. Mitigation: bed state is event-sourced (every state change has a user, timestamp, and audit trail), concurrent admission prevention (bed reservation lock for 10 minutes after allocation starts), and daily bed state audit (automated reconciliation against PAS ADT data — discrepancies alerted to bed manager). Second hazard: DTOC patient incorrectly discharged without care package in place. Mitigation: DTOC flag must be manually cleared with a named social care worker confirmation.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14 weeks, £78,000 — under budget. Bed turnaround time (discharge to next admission): 4.8 hours → 2.6 hours (46% improvement). Delayed Transfer of Care: trust average DTOC days reduced from 8.4 to 6.1 days (NHS England target: &lt; 7). Emergency department 4-hour standard: improved from 68% to 74% (attributed to improved bed availability visibility). DTOC automated reporting: 100% (previously 2 days manual). NHS England DTOC benchmark: trust moved from bottom quartile to second quartile nationally.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"Bed turnaround from 4.8 hours to 2.6 hours. Emergency department 4-hour standard from 68% to 74%. DTOC national benchmark from bottom quartile to second quartile. Every one of those metrics is a real patient receiving timely care. DTAC first submission. DTOC automated reporting — the 2 days per month that went on manual collection is now clinical time." — Chief Operating Officer, NHS Acute Trust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Node.js/Socket.IO, PostgreSQL, HAPI FHIR R4, HL7 v2 ADT, NHS England DTOC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NHS PAS FHIR R4, UK GDPR Article 9, NHS DSP Toolkit,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bed management software uk, patient flow platform nhs uk, healthtech patient flow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2026-06-01T07:34:59.030Z</dcterms:created>
  <dcterms:modified xsi:type="dcterms:W3CDTF">2026-06-01T07:34:59.030Z</dcterms:modified>
</cp:coreProperties>
</file>

<file path=docProps/custom.xml><?xml version="1.0" encoding="utf-8"?>
<Properties xmlns="http://schemas.openxmlformats.org/officeDocument/2006/custom-properties" xmlns:vt="http://schemas.openxmlformats.org/officeDocument/2006/docPropsVTypes"/>
</file>