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eCommerce Sustainable Outdoor Apparel D2C Platform — UK Brand — ClickMasters Case Study
META DESC: A UK sustainable outdoor apparel brand with £18M annual revenue, 120,000 customers, and B Corp certification n...
SLUG: /case-studies/ecommerce-sustainable-outdoor-apparel-d2c/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eCommerce Sustainable Outdoor Apparel D2C Platform — UK Brand</w:t>
      </w:r>
    </w:p>
    <w:p>
      <w:pPr>
        <w:spacing w:after="60" w:before="60"/>
      </w:pPr>
    </w:p>
    <w:p>
      <w:pPr>
        <w:pStyle w:val="Heading1"/>
        <w:spacing w:after="160" w:before="360"/>
      </w:pPr>
      <w:r>
        <w:rPr>
          <w:rFonts w:ascii="Arial" w:cs="Arial" w:eastAsia="Arial" w:hAnsi="Arial"/>
          <w:b/>
          <w:bCs/>
          <w:color w:val="0B1F3A"/>
          <w:sz w:val="40"/>
          <w:szCs w:val="40"/>
        </w:rPr>
        <w:t xml:space="preserve">eCommerce Sustainable Outdoor Apparel D2C Platform — UK Brand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eCommerce / Sustainable Apparel</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eCommerce / Sustainable Apparel | Tech: Next.js App Router, Shopify Plus Storefront API, Contentful (sustainability content), Cloudinary, Vercel CDN, Stripe, AWS eu-west-2 | Compliance: UK Consumer Rights Act, UK GDPR, PECR, PCI-DSS SAQ-A, B Corp Impact Assessment requirements,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sustainable outdoor apparel brand with £18M annual revenue, 120,000 customers, and B Corp certification needed a new D2C platform — replacing a WooCommerce installation suffering from performance issues (LCP 9.2 seconds) and an inability to communicate the brand's sustainability story (materials transparency, supply chain traceability, and recycled product lifecycle). UK Consumer Rights Act, UK GDPR, PECR, PCI-DSS SAQ-A, and B Corp reporting requirements were mandatory. Budget: £120,000.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Sustainability-First Product Architecture: </w:t>
      </w:r>
      <w:r>
        <w:rPr>
          <w:rFonts w:ascii="Arial" w:cs="Arial" w:eastAsia="Arial" w:hAnsi="Arial"/>
          <w:b w:val="false"/>
          <w:bCs w:val="false"/>
          <w:i w:val="false"/>
          <w:iCs w:val="false"/>
          <w:color w:val="1A2332"/>
          <w:sz w:val="22"/>
          <w:szCs w:val="22"/>
        </w:rPr>
        <w:t xml:space="preserve">Product data architecture: each product has a sustainability passport — materials composition (recycled content % — Higg MSI scores), country of manufacture, factory certification (Fair Trade, OEKO-TEX, Global Organic Textile Standard), carbon footprint (kg CO2eq per unit — lifecycle assessment), end-of-life options (repair, recycle, resell programme), and Higg Index score. Sustainability passport displayed prominently on product page — product page redesigned to put sustainability information equal prominence with price and features.</w:t>
      </w:r>
    </w:p>
    <w:p>
      <w:pPr>
        <w:spacing w:after="160" w:before="100"/>
      </w:pPr>
      <w:r>
        <w:rPr>
          <w:rFonts w:ascii="Arial" w:cs="Arial" w:eastAsia="Arial" w:hAnsi="Arial"/>
          <w:b/>
          <w:bCs/>
          <w:i w:val="false"/>
          <w:iCs w:val="false"/>
          <w:color w:val="E8612A"/>
          <w:sz w:val="22"/>
          <w:szCs w:val="22"/>
        </w:rPr>
        <w:t xml:space="preserve">Supply Chain Traceability Integration: </w:t>
      </w:r>
      <w:r>
        <w:rPr>
          <w:rFonts w:ascii="Arial" w:cs="Arial" w:eastAsia="Arial" w:hAnsi="Arial"/>
          <w:b w:val="false"/>
          <w:bCs w:val="false"/>
          <w:i w:val="false"/>
          <w:iCs w:val="false"/>
          <w:color w:val="1A2332"/>
          <w:sz w:val="22"/>
          <w:szCs w:val="22"/>
        </w:rPr>
        <w:t xml:space="preserve">Materials traceability: Tier 1 supplier (manufacturer), Tier 2 (fabric supplier), Tier 3 (yarn/fibre producer) — all visible on product page. Supplier data: ClickMasters built a supplier portal where each supplier logs their own data (certifications, production data, audit results). QR code on physical product: scan QR code → digital sustainability passport with full traceability. This is not greenwashing — it is transparent data from verified suppliers.</w:t>
      </w:r>
    </w:p>
    <w:p>
      <w:pPr>
        <w:spacing w:after="160" w:before="100"/>
      </w:pPr>
      <w:r>
        <w:rPr>
          <w:rFonts w:ascii="Arial" w:cs="Arial" w:eastAsia="Arial" w:hAnsi="Arial"/>
          <w:b/>
          <w:bCs/>
          <w:i w:val="false"/>
          <w:iCs w:val="false"/>
          <w:color w:val="E8612A"/>
          <w:sz w:val="22"/>
          <w:szCs w:val="22"/>
        </w:rPr>
        <w:t xml:space="preserve">B Corp Reporting Data Pipeline: </w:t>
      </w:r>
      <w:r>
        <w:rPr>
          <w:rFonts w:ascii="Arial" w:cs="Arial" w:eastAsia="Arial" w:hAnsi="Arial"/>
          <w:b w:val="false"/>
          <w:bCs w:val="false"/>
          <w:i w:val="false"/>
          <w:iCs w:val="false"/>
          <w:color w:val="1A2332"/>
          <w:sz w:val="22"/>
          <w:szCs w:val="22"/>
        </w:rPr>
        <w:t xml:space="preserve">B Corp Impact Assessment: scored across 5 impact areas (Workers, Community, Environment, Customers, Governance). Platform data pipeline: eCommerce platform events feed into B Corp relevant metrics (worker pay — if sold via own supply chain employees, community impact — charitable giving linked to sales, environmental — product carbon footprint data). Annual B Corp re-assessment: platform generates B Corp evidence pack automatically. CBI (Certified B Corporation) requirement: continuous evidence of impact, not just assessment-period snapshots.</w:t>
      </w:r>
    </w:p>
    <w:p>
      <w:pPr>
        <w:spacing w:after="160" w:before="100"/>
      </w:pPr>
      <w:r>
        <w:rPr>
          <w:rFonts w:ascii="Arial" w:cs="Arial" w:eastAsia="Arial" w:hAnsi="Arial"/>
          <w:b/>
          <w:bCs/>
          <w:i w:val="false"/>
          <w:iCs w:val="false"/>
          <w:color w:val="E8612A"/>
          <w:sz w:val="22"/>
          <w:szCs w:val="22"/>
        </w:rPr>
        <w:t xml:space="preserve">Core Web Vitals Optimisation for Sustainable Brand: </w:t>
      </w:r>
      <w:r>
        <w:rPr>
          <w:rFonts w:ascii="Arial" w:cs="Arial" w:eastAsia="Arial" w:hAnsi="Arial"/>
          <w:b w:val="false"/>
          <w:bCs w:val="false"/>
          <w:i w:val="false"/>
          <w:iCs w:val="false"/>
          <w:color w:val="1A2332"/>
          <w:sz w:val="22"/>
          <w:szCs w:val="22"/>
        </w:rPr>
        <w:t xml:space="preserve">Previous LCP: 9.2 seconds (WooCommerce + unoptimised images + no CDN). New architecture: Next.js App Router + Shopify Plus Storefront API + Vercel CDN. Image optimisation: sustainability passport images (supply chain photos) — Next.js Image component (WebP + AVIF, lazy load), Cloudinary for dynamic supplier photos. LCP target: &lt; 2.0 seconds. Sustainability content: server-rendered (Server Components) — zero JavaScript overhead for content-heavy sustainability pages.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20 weeks, £112,000 — under budget. LCP: 9.2s → 1.6s. Organic search impressions: +420% (Core Web Vitals improvement + rich sustainability content). Sustainability passport engagement: 68% of visitors view sustainability passport. Average order value: £94 → £118 (26% — customers willing to pay more after understanding sustainability story). Return rate: 12% → 8% (better product information reduces unsuitable purchases). B Corp score: 84.2 → 91.6 (improved data capture enables better impact documentation).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"LCP from 9.2 to 1.6 seconds. Organic impressions up 420%. AOV from £94 to £118 — customers pay more when they understand the sustainability story. B Corp score 84.2 to 91.6. Sustainability passport engagement 68% — two thirds of our customers read the full sustainability story. The platform proved our instinct: transparency builds trust and trust builds sales." — CEO, UK Sustainable Outdoor Apparel Brand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App Router, Shopify Plus Storefront API, Contentful (sustainability content), Cloudinary, Vercel CDN, Stripe,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Consumer Rights Act, UK GDPR, PECR, PCI-DSS SAQ-A, B Corp Impact Assessment requirements,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sustainable apparel ecommerce uk, b corp ecommerce platform uk, d2c sustainability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2026-06-01T13:16:54.496Z</dcterms:created>
  <dcterms:modified xsi:type="dcterms:W3CDTF">2026-06-01T13:16:54.496Z</dcterms:modified>
</cp:coreProperties>
</file>

<file path=docProps/custom.xml><?xml version="1.0" encoding="utf-8"?>
<Properties xmlns="http://schemas.openxmlformats.org/officeDocument/2006/custom-properties" xmlns:vt="http://schemas.openxmlformats.org/officeDocument/2006/docPropsVTypes"/>
</file>