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Regulatory Change Management Platform — UK Law Firm — ClickMasters Case Study
META DESC: A UK Magic Circle law firm with 3,200 lawyers, 48 practice areas, and an estimated £2.4M annual cost of regula...
SLUG: /case-studies/legaltech-regulatory-change-management/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Regulatory Change Management Platform — UK Law Firm</w:t>
      </w:r>
    </w:p>
    <w:p>
      <w:pPr>
        <w:spacing w:after="60" w:before="60"/>
      </w:pPr>
    </w:p>
    <w:p>
      <w:pPr>
        <w:pStyle w:val="Heading1"/>
        <w:spacing w:after="160" w:before="360"/>
      </w:pPr>
      <w:r>
        <w:rPr>
          <w:rFonts w:ascii="Arial" w:cs="Arial" w:eastAsia="Arial" w:hAnsi="Arial"/>
          <w:b/>
          <w:bCs/>
          <w:color w:val="0B1F3A"/>
          <w:sz w:val="40"/>
          <w:szCs w:val="40"/>
        </w:rPr>
        <w:t xml:space="preserve">LegalTech Regulatory Change Management Platform — UK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Regulatory Intelligence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Regulatory Intelligence | Tech: Python/FastAPI, Playwright (scrapers), Claude API (claude-sonnet-4-20250514), React, Node.js/Fastify, PostgreSQL, Microsoft Graph API, IntApp API, S3, AWS eu-west-2 | Compliance: SRA Code of Conduct 2019 (AI oversight), UK GDPR (client data), PII risk management, WCAG 2.1 AA,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Magic Circle law firm with 3,200 lawyers, 48 practice areas, and an estimated £2.4M annual cost of regulatory change management (monitoring regulatory developments, assessing client impact, and communicating to clients) needed an AI-powered regulatory change management platform. SRA Code of Conduct (regulatory intelligence as legal advice — professional obligations), UK GDPR for client data, PII (Professional Indemnity Insurance) risk management, and WCAG 2.1 AA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Regulatory Source Monitoring and Ingestion: </w:t>
      </w:r>
      <w:r>
        <w:rPr>
          <w:rFonts w:ascii="Arial" w:cs="Arial" w:eastAsia="Arial" w:hAnsi="Arial"/>
          <w:b w:val="false"/>
          <w:bCs w:val="false"/>
          <w:i w:val="false"/>
          <w:iCs w:val="false"/>
          <w:color w:val="1A2332"/>
          <w:sz w:val="22"/>
          <w:szCs w:val="22"/>
        </w:rPr>
        <w:t xml:space="preserve">Regulatory sources monitored: FCA (Policy Statements, Consultation Papers, Dear CEO letters, Supervisory Statements), Bank of England (PRA Supervisory Statements, Working Papers), HMRC (CEST, HMRC guidance updates), Companies House (registry changes), ICO (enforcement notices, guidance), ESMA (EU regulatory changes post-Brexit monitoring), and UK Parliament (Bills, SIs, Hansard). Web scraping: Playwright-based scheduled scrapers (hourly for FCA/BoE, daily for others) → document ingestion pipeline → S3 raw document store → Lambda (document classification and metadata extraction).</w:t>
      </w:r>
    </w:p>
    <w:p>
      <w:pPr>
        <w:spacing w:after="160" w:before="100"/>
      </w:pPr>
      <w:r>
        <w:rPr>
          <w:rFonts w:ascii="Arial" w:cs="Arial" w:eastAsia="Arial" w:hAnsi="Arial"/>
          <w:b/>
          <w:bCs/>
          <w:i w:val="false"/>
          <w:iCs w:val="false"/>
          <w:color w:val="E8612A"/>
          <w:sz w:val="22"/>
          <w:szCs w:val="22"/>
        </w:rPr>
        <w:t xml:space="preserve">AI Regulatory Impact Assessment: </w:t>
      </w:r>
      <w:r>
        <w:rPr>
          <w:rFonts w:ascii="Arial" w:cs="Arial" w:eastAsia="Arial" w:hAnsi="Arial"/>
          <w:b w:val="false"/>
          <w:bCs w:val="false"/>
          <w:i w:val="false"/>
          <w:iCs w:val="false"/>
          <w:color w:val="1A2332"/>
          <w:sz w:val="22"/>
          <w:szCs w:val="22"/>
        </w:rPr>
        <w:t xml:space="preserve">AI model: fine-tuned on 50,000 UK regulatory documents (FCA, PRA, HMRC, ICO — sourced from public register archives). Task: given new regulatory document → (1) classify document type (Policy Statement, Consultation, Guidance, Enforcement), (2) identify affected practice areas (FinTech, M&amp;A, Tax, Employment — from document content), (3) extract key changes (compare to previous version if available), (4) assess urgency (implementation deadline extraction), (5) generate client impact summary (which client industries affected, what action required). Model: Anthropic claude-sonnet-4-20250514 via API — instructed to return structured JSON.</w:t>
      </w:r>
    </w:p>
    <w:p>
      <w:pPr>
        <w:spacing w:after="160" w:before="100"/>
      </w:pPr>
      <w:r>
        <w:rPr>
          <w:rFonts w:ascii="Arial" w:cs="Arial" w:eastAsia="Arial" w:hAnsi="Arial"/>
          <w:b/>
          <w:bCs/>
          <w:i w:val="false"/>
          <w:iCs w:val="false"/>
          <w:color w:val="E8612A"/>
          <w:sz w:val="22"/>
          <w:szCs w:val="22"/>
        </w:rPr>
        <w:t xml:space="preserve">Practice Area Alert Workflow: </w:t>
      </w:r>
      <w:r>
        <w:rPr>
          <w:rFonts w:ascii="Arial" w:cs="Arial" w:eastAsia="Arial" w:hAnsi="Arial"/>
          <w:b w:val="false"/>
          <w:bCs w:val="false"/>
          <w:i w:val="false"/>
          <w:iCs w:val="false"/>
          <w:color w:val="1A2332"/>
          <w:sz w:val="22"/>
          <w:szCs w:val="22"/>
        </w:rPr>
        <w:t xml:space="preserve">Alert routing: regulatory change classified by practice area → relevant practice area Partner notified (email + Teams message via Microsoft Graph). Alert review: Partner reviews AI assessment → approves for client communication / adds commentary / marks not relevant. Client communication: Partners select affected clients from CRM (IntApp or Elite 3E API) → personalised client alert generated (AI drafts alert → Partner edits → approved for send). Alert analytics: open rate, click rate, client response tracking. PII risk: AI assessment is a tool for Partner review — AI output never sent directly to clients without Partner approval.</w:t>
      </w:r>
    </w:p>
    <w:p>
      <w:pPr>
        <w:spacing w:after="160" w:before="100"/>
      </w:pPr>
      <w:r>
        <w:rPr>
          <w:rFonts w:ascii="Arial" w:cs="Arial" w:eastAsia="Arial" w:hAnsi="Arial"/>
          <w:b/>
          <w:bCs/>
          <w:i w:val="false"/>
          <w:iCs w:val="false"/>
          <w:color w:val="E8612A"/>
          <w:sz w:val="22"/>
          <w:szCs w:val="22"/>
        </w:rPr>
        <w:t xml:space="preserve">SRA Professional Obligations and AI: </w:t>
      </w:r>
      <w:r>
        <w:rPr>
          <w:rFonts w:ascii="Arial" w:cs="Arial" w:eastAsia="Arial" w:hAnsi="Arial"/>
          <w:b w:val="false"/>
          <w:bCs w:val="false"/>
          <w:i w:val="false"/>
          <w:iCs w:val="false"/>
          <w:color w:val="1A2332"/>
          <w:sz w:val="22"/>
          <w:szCs w:val="22"/>
        </w:rPr>
        <w:t xml:space="preserve">SRA Code of Conduct 2019: solicitors must provide competent legal advice. AI regulatory assessment: tool to support Partners, not replace judgment. Platform makes clear: AI assessment is preliminary — Partner must review before any client communication. AI disclaimer: every AI-generated assessment displays "This is an AI preliminary assessment. Partner review required before client communication." Audit trail: every AI assessment, Partner review action, and client communication logged immutably. SRA investigation: if client complaint arises, audit trail demonstrates appropriate Partner oversight of AI output.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22 weeks, £128,000 — under budget. Regulatory sources monitored: 340 (target: 200). Regulatory changes processed per month: 2,400. Partner time on regulatory monitoring: 3.2 hours/week → 45 minutes/week. Client alert response rate: 68% (clients engage with alerts — previously low because alerts were infrequent and generic). AI assessment accuracy (Partner-assessed): 91% (assessed as accurate preliminary assessment without significant error). Annual cost saving: £1.8M (versus £2.4M manual cost — 75% reduction).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"£1.8M saving versus £2.4M manual cost. Partner regulatory monitoring from 3.2 hours to 45 minutes per week. AI assessment accuracy 91% — Partners trust it as a starting point. Client alert response 68% — our clients engage because the alerts are now specific and timely. The SRA compliance framework around AI oversight was the most important design decision — AI assists Partners, Partners advise clients." — Chief Innovation Officer, UK Magic Circle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Playwright (scrapers), Claude API (claude-sonnet-4-20250514), React, Node.js/Fastify, PostgreSQL, Microsoft Graph API, IntApp API, S3,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2019 (AI oversight), UK GDPR (client data), PII risk management, WCAG 2.1 AA,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regulatory change management platform uk, legaltech ai regulatory intelligence uk, law firm regulatory monitoring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2026-06-02T07:09:31.039Z</dcterms:created>
  <dcterms:modified xsi:type="dcterms:W3CDTF">2026-06-02T07:09:31.039Z</dcterms:modified>
</cp:coreProperties>
</file>

<file path=docProps/custom.xml><?xml version="1.0" encoding="utf-8"?>
<Properties xmlns="http://schemas.openxmlformats.org/officeDocument/2006/custom-properties" xmlns:vt="http://schemas.openxmlformats.org/officeDocument/2006/docPropsVTypes"/>
</file>