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PropTech Student Accommodation Management Platform — UK PBSA Operator — ClickMasters Case Study
META DESC: A UK Purpose-Built Student Accommodation (PBSA) operator with 8,400 student beds across 24 properties and 12,0...
SLUG: /case-studies/proptech-student-accommodation-management-pbsa/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PropTech Student Accommodation Management Platform — UK PBSA Operator</w:t>
      </w:r>
    </w:p>
    <w:p>
      <w:pPr>
        <w:spacing w:after="60" w:before="60"/>
      </w:pPr>
    </w:p>
    <w:p>
      <w:pPr>
        <w:pStyle w:val="Heading1"/>
        <w:spacing w:after="160" w:before="360"/>
      </w:pPr>
      <w:r>
        <w:rPr>
          <w:rFonts w:ascii="Arial" w:cs="Arial" w:eastAsia="Arial" w:hAnsi="Arial"/>
          <w:b/>
          <w:bCs/>
          <w:color w:val="0B1F3A"/>
          <w:sz w:val="40"/>
          <w:szCs w:val="40"/>
        </w:rPr>
        <w:t xml:space="preserve">PropTech Student Accommodation Management Platform — UK PBSA Operator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PropTech / Student Accommodation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PropTech / Student Accommodation | Tech: React, Node.js/Fastify, PostgreSQL, DocuSign, DPS TDS API, GOV.UK Notify, Experian API, AWS eu-west-2 | Compliance: ANUK National Code of Practice, Consumer Rights Act (student tenancy), Housing Act 1988, UK GDPR, ICO AADC,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Purpose-Built Student Accommodation (PBSA) operator with 8,400 student beds across 24 properties and 12,000 tenancy transactions per year needed a unified digital platform — replacing a combination of legacy Kinetic (now Yardi Student) installations and spreadsheet management. ANUK National Code of Practice for PBSA, Consumer Rights Act (student tenancy — fixed term with vacation rights), UK GDPR for student personal data, ICO AADC (some students are 17–18 year olds in first year), Housing Act 1988, and WCAG 2.1 AA were mandatory.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Student Tenancy Lifecycle Management: </w:t>
      </w:r>
      <w:r>
        <w:rPr>
          <w:rFonts w:ascii="Arial" w:cs="Arial" w:eastAsia="Arial" w:hAnsi="Arial"/>
          <w:b w:val="false"/>
          <w:bCs w:val="false"/>
          <w:i w:val="false"/>
          <w:iCs w:val="false"/>
          <w:color w:val="1A2332"/>
          <w:sz w:val="22"/>
          <w:szCs w:val="22"/>
        </w:rPr>
        <w:t xml:space="preserve">PBSA tenancy lifecycle: application (prospectus → online application → ID verification → guarantor application for under-18 or international students) → booking (deposit payment — DPS TDS (Tenancy Deposit Scheme) mandatory) → contract (AST — Assured Shorthold Tenancy or Academic Tenancy Agreement) → move-in (condition report, key issue, induction) → tenancy management (maintenance requests, community events, compliance checks) → renewal or move-out (deposit resolution, condition comparison). All stages digitised with DocuSign (tenancy agreement electronic signature) and GOV.UK Notify (automated stage notifications).</w:t>
      </w:r>
    </w:p>
    <w:p>
      <w:pPr>
        <w:spacing w:after="160" w:before="100"/>
      </w:pPr>
      <w:r>
        <w:rPr>
          <w:rFonts w:ascii="Arial" w:cs="Arial" w:eastAsia="Arial" w:hAnsi="Arial"/>
          <w:b/>
          <w:bCs/>
          <w:i w:val="false"/>
          <w:iCs w:val="false"/>
          <w:color w:val="E8612A"/>
          <w:sz w:val="22"/>
          <w:szCs w:val="22"/>
        </w:rPr>
        <w:t xml:space="preserve">ANUK Code and Student Welfare Compliance: </w:t>
      </w:r>
      <w:r>
        <w:rPr>
          <w:rFonts w:ascii="Arial" w:cs="Arial" w:eastAsia="Arial" w:hAnsi="Arial"/>
          <w:b w:val="false"/>
          <w:bCs w:val="false"/>
          <w:i w:val="false"/>
          <w:iCs w:val="false"/>
          <w:color w:val="1A2332"/>
          <w:sz w:val="22"/>
          <w:szCs w:val="22"/>
        </w:rPr>
        <w:t xml:space="preserve">ANUK National Code: UK's primary PBSA quality standard (covers management, tenancy conditions, maintenance, safety, and community). ANUK evidence platform: compliance evidence collection (fire risk assessment date, electrical safety certificate date, gas safety certificate date, water hygiene log), maintenance SLA tracking (emergency: 24 hours, urgent: 3 working days, routine: 28 days), and annual ANUK audit pack generation. Welfare: mental health support signposting (student welfare portal — Student Space, NHS 111, university counselling links), welfare flag system (if maintenance request or communication suggests student distress — welfare team notified).</w:t>
      </w:r>
    </w:p>
    <w:p>
      <w:pPr>
        <w:spacing w:after="160" w:before="100"/>
      </w:pPr>
      <w:r>
        <w:rPr>
          <w:rFonts w:ascii="Arial" w:cs="Arial" w:eastAsia="Arial" w:hAnsi="Arial"/>
          <w:b/>
          <w:bCs/>
          <w:i w:val="false"/>
          <w:iCs w:val="false"/>
          <w:color w:val="E8612A"/>
          <w:sz w:val="22"/>
          <w:szCs w:val="22"/>
        </w:rPr>
        <w:t xml:space="preserve">International Student Guarantor and Visa Compliance: </w:t>
      </w:r>
      <w:r>
        <w:rPr>
          <w:rFonts w:ascii="Arial" w:cs="Arial" w:eastAsia="Arial" w:hAnsi="Arial"/>
          <w:b w:val="false"/>
          <w:bCs w:val="false"/>
          <w:i w:val="false"/>
          <w:iCs w:val="false"/>
          <w:color w:val="1A2332"/>
          <w:sz w:val="22"/>
          <w:szCs w:val="22"/>
        </w:rPr>
        <w:t xml:space="preserve">International student guarantors: UK-based guarantor required for international students above 18. Guarantor workflow: guarantor credit check (Experian), guarantor agreement (DocuSign), and guarantor notification when student rent is overdue. Visa compliance: students on Tier 4/Student visa — PBSA operator must maintain attendance and accommodation records (may be required by Home Office). Student visa check: UKVI (UK Visas and Immigration) sponsorship check at application (verify student studying at a registered higher education provider — student number verification via HESA Student Data).</w:t>
      </w:r>
    </w:p>
    <w:p>
      <w:pPr>
        <w:spacing w:after="160" w:before="100"/>
      </w:pPr>
      <w:r>
        <w:rPr>
          <w:rFonts w:ascii="Arial" w:cs="Arial" w:eastAsia="Arial" w:hAnsi="Arial"/>
          <w:b/>
          <w:bCs/>
          <w:i w:val="false"/>
          <w:iCs w:val="false"/>
          <w:color w:val="E8612A"/>
          <w:sz w:val="22"/>
          <w:szCs w:val="22"/>
        </w:rPr>
        <w:t xml:space="preserve">ICO AADC for Under-18 and First-Year Students: </w:t>
      </w:r>
      <w:r>
        <w:rPr>
          <w:rFonts w:ascii="Arial" w:cs="Arial" w:eastAsia="Arial" w:hAnsi="Arial"/>
          <w:b w:val="false"/>
          <w:bCs w:val="false"/>
          <w:i w:val="false"/>
          <w:iCs w:val="false"/>
          <w:color w:val="1A2332"/>
          <w:sz w:val="22"/>
          <w:szCs w:val="22"/>
        </w:rPr>
        <w:t xml:space="preserve">ICO AADC: PBSA platforms accessed by students who may be 17 years old (September entry — some are 17 until October or November). AADC compliance: (1) age estimation at application (if age uncertain — conservative treatment until confirmed 18), (2) data minimisation — collect only data required for tenancy management, (3) no profiling of under-18 students, (4) parental contact mechanism (for under-18 students — emergency contact is guardian/parent), (5) content appropriate — marketing communications age-appropriate. Privacy notice: separate plain English version for young tenants.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ANUK Code compliance confirmed. Platform live at 16 weeks, £100,000 — under budget. 8,400 beds across 24 properties live. Tenancy application to contract time: 8.4 days → 2.1 days. Maintenance SLA compliance: 94.2% (ANUK standard: 90%). Deposit return disputes: 2.8% (vs 8.4% industry benchmark). ANUK audit pack generation: automated (previously 3 days per property per year). ICO AADC: compliance confirmed by DPO review. WCAG 2.1 AA: zero non-compliances. Student NPS: 78.</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"Tenancy application to contract from 8.4 days to 2.1 days. Deposit disputes from 8.4% industry benchmark to 2.8%. Maintenance SLA 94.2%. ANUK audit pack automated — 3 days per property returned. Student NPS 78. ICO AADC confirmed by DPO. The AADC work for under-18 first-year students was novel — PBSA operators have never had to think about children's online privacy before. Now we have a standard that the rest of the sector will follow." — COO, UK PBSA Operator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DocuSign, DPS TDS API, GOV.UK Notify, Experian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ANUK National Code of Practice, Consumer Rights Act (student tenancy), Housing Act 1988, UK GDPR, ICO AADC,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pbsa student accommodation software uk, student accommodation management platform uk, proptech student housing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2026-06-02T12:59:16.861Z</dcterms:created>
  <dcterms:modified xsi:type="dcterms:W3CDTF">2026-06-02T12:59:16.861Z</dcterms:modified>
</cp:coreProperties>
</file>

<file path=docProps/custom.xml><?xml version="1.0" encoding="utf-8"?>
<Properties xmlns="http://schemas.openxmlformats.org/officeDocument/2006/custom-properties" xmlns:vt="http://schemas.openxmlformats.org/officeDocument/2006/docPropsVTypes"/>
</file>