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FinTech UK | ClickMasters
META DESC: Staff Augmentation for UK FinTech. FCA COBS. from £5,200/month.
SLUG: /fintech-staff-augmentation-fintech/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FinTech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FinTech — FCA 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FinTech businesses with FCA COBS,  FCA PS21/3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Regulated FinTech Engineer Profiles: </w:t>
      </w:r>
      <w:r>
        <w:rPr>
          <w:rFonts w:ascii="Arial" w:cs="Arial" w:eastAsia="Arial" w:hAnsi="Arial"/>
          <w:b w:val="false"/>
          <w:bCs w:val="false"/>
          <w:i w:val="false"/>
          <w:iCs w:val="false"/>
          <w:color w:val="1A2332"/>
          <w:sz w:val="22"/>
          <w:szCs w:val="22"/>
        </w:rPr>
        <w:t xml:space="preserve">FCA regulated FinTech staff augmentation requires engineers who understand FCA regulatory context, not just financial software patterns. Key profiles: (1) FCA Consumer Duty engineer — experience implementing outcome monitoring dashboards, value assessment data pipelines, and Consumer Duty Board report automation. (2) FCA PS21/3 resilience engineer — experience designing multi-AZ systems with formal Impact Tolerance requirements and quarterly chaos testing. (3) Open Banking AISP/PISP engineer — TrueLayer or Yapily API integration, PSD2/PSRs compliance, OAuth 2.0 consent management. (4) AML/CTF engineer — Dow Jones/ComplyAdvantage integration, SAR workflow automation, Travel Rule compliance.</w:t>
      </w:r>
    </w:p>
    <w:p>
      <w:pPr>
        <w:spacing w:after="60" w:before="60"/>
      </w:pPr>
    </w:p>
    <w:p>
      <w:pPr>
        <w:spacing w:after="160" w:before="100"/>
      </w:pPr>
      <w:r>
        <w:rPr>
          <w:rFonts w:ascii="Arial" w:cs="Arial" w:eastAsia="Arial" w:hAnsi="Arial"/>
          <w:b/>
          <w:bCs/>
          <w:i w:val="false"/>
          <w:iCs w:val="false"/>
          <w:color w:val="E8612A"/>
          <w:sz w:val="22"/>
          <w:szCs w:val="22"/>
        </w:rPr>
        <w:t xml:space="preserve">FCA Operational Resilience Team Augmentation: </w:t>
      </w:r>
      <w:r>
        <w:rPr>
          <w:rFonts w:ascii="Arial" w:cs="Arial" w:eastAsia="Arial" w:hAnsi="Arial"/>
          <w:b w:val="false"/>
          <w:bCs w:val="false"/>
          <w:i w:val="false"/>
          <w:iCs w:val="false"/>
          <w:color w:val="1A2332"/>
          <w:sz w:val="22"/>
          <w:szCs w:val="22"/>
        </w:rPr>
        <w:t xml:space="preserve">FCA PS21/3 operational resilience programme: most UK FinTechs are running a multi-year PS21/3 programme (first reporting period completed March 2025 — ongoing annual review). Staff augmentation for PS21/3 programmes: (1) IBS mapping engineers (identify Important Business Services — requires system architecture knowledge and FCA regulatory understanding combined), (2) resilience testing engineers (AWS FIS chaos testing, quarterly Impact Tolerance test execution), (3) runbook engineers (operational documentation for IBS recovery procedures), (4) monitoring engineers (CloudWatch dashboards for IBS availability metrics, PagerDuty alerting). ClickMasters maintains a pool of engineers with live PS21/3 programme experience.</w:t>
      </w:r>
    </w:p>
    <w:p>
      <w:pPr>
        <w:spacing w:after="60" w:before="60"/>
      </w:pPr>
    </w:p>
    <w:p>
      <w:pPr>
        <w:spacing w:after="160" w:before="100"/>
      </w:pPr>
      <w:r>
        <w:rPr>
          <w:rFonts w:ascii="Arial" w:cs="Arial" w:eastAsia="Arial" w:hAnsi="Arial"/>
          <w:b/>
          <w:bCs/>
          <w:i w:val="false"/>
          <w:iCs w:val="false"/>
          <w:color w:val="E8612A"/>
          <w:sz w:val="22"/>
          <w:szCs w:val="22"/>
        </w:rPr>
        <w:t xml:space="preserve">CASS Client Money Platform Engineers: </w:t>
      </w:r>
      <w:r>
        <w:rPr>
          <w:rFonts w:ascii="Arial" w:cs="Arial" w:eastAsia="Arial" w:hAnsi="Arial"/>
          <w:b w:val="false"/>
          <w:bCs w:val="false"/>
          <w:i w:val="false"/>
          <w:iCs w:val="false"/>
          <w:color w:val="1A2332"/>
          <w:sz w:val="22"/>
          <w:szCs w:val="22"/>
        </w:rPr>
        <w:t xml:space="preserve">CASS (Client Assets Sourcebook): client money and custody specialists are the rarest FinTech profiles in the UK market. CASS 5 (client money — investment firms), CASS 7 (client money — insurance intermediaries), CASS 7 (custody — securities). Daily reconciliation: engineers who have built CASS daily reconciliation systems (client money account balance vs sum of client entitlements) are extremely rare. ClickMasters has built CASS-compliant systems for 8 FCA-regulated firms — we maintain a pool of engineers with CASS reconciliation engineering experience.</w:t>
      </w:r>
    </w:p>
    <w:p>
      <w:pPr>
        <w:spacing w:after="60" w:before="60"/>
      </w:pPr>
    </w:p>
    <w:p>
      <w:pPr>
        <w:spacing w:after="160" w:before="100"/>
      </w:pPr>
      <w:r>
        <w:rPr>
          <w:rFonts w:ascii="Arial" w:cs="Arial" w:eastAsia="Arial" w:hAnsi="Arial"/>
          <w:b/>
          <w:bCs/>
          <w:i w:val="false"/>
          <w:iCs w:val="false"/>
          <w:color w:val="E8612A"/>
          <w:sz w:val="22"/>
          <w:szCs w:val="22"/>
        </w:rPr>
        <w:t xml:space="preserve">FCA Financial Promotions Technology: </w:t>
      </w:r>
      <w:r>
        <w:rPr>
          <w:rFonts w:ascii="Arial" w:cs="Arial" w:eastAsia="Arial" w:hAnsi="Arial"/>
          <w:b w:val="false"/>
          <w:bCs w:val="false"/>
          <w:i w:val="false"/>
          <w:iCs w:val="false"/>
          <w:color w:val="1A2332"/>
          <w:sz w:val="22"/>
          <w:szCs w:val="22"/>
        </w:rPr>
        <w:t xml:space="preserve">FCA Financial Promotions (FSMA s.21): all financial promotions must be fair, clear, and not misleading. Post-January 2024 crypto promotions rules: specific wording requirements ("Don't invest unless you're prepared to lose all the money you invest"), 24-hour cooling-off. ClickMasters staff augmentation: engineers who have implemented compliant financial promotions systems (automated disclosure checking, risk warning display, cooling-off period enforcement) are in very high demand following the January 2024 crypto rules and FCA Consumer Duty promotions requirements. Financial promotions engineers rarely available on the open 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COBS, FCA PS21/3, FCA Consumer Duty, PCI-DSS, UK GDPR, AML MLRs 2017,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FinTech skills are hardest to find for staff augmentation?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Rarest FCA FinTech staff augmentation profiles (roughly in order of scarcity): (1) CASS daily reconciliation engineers (&lt; 30 engineers in UK with production CASS reconciliation experience), (2) FCA PS21/3 Impact Tolerance resilience engineers (few PS21/3 programmes built from scratch — most PS21/3 work is BAU now), (3) Open Banking PISP engineers with live payment initiation production experience, (4) FCA financial promotions compliance engineers (post-January 2024 crypto and Consumer Duty rules created new demand). ClickMasters maintains a pre-vetted pool across all four — available within 2–4 weeks.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ensure FCA compliance during FinTech staff augmentation onboarding?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FCA FinTech staff augmentation onboarding: Day 1–2: FCA regulatory context induction (PS21/3 overview, Consumer Duty, COBS applicable to the specific platform, AML obligations). Week 1: codebase walkthrough with focus on FCA-relevant components (IBS architecture, Consumer Duty data pipelines, CASS reconciliation if applicable). Week 2: first sprint with FCA-context tasks (adding Consumer Duty monitoring metrics, contributing to resilience testing runbooks). Full FCA context productivity: 3–4 weeks for engineers with prior FinTech experience, 5–6 weeks for engineers new to regulated FinTech. ClickMasters charges a 1-week discovery rate before augmentation commences.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Staff Augmentation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staff augmentation uk 2025"</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2026-06-02T13:09:33.365Z</dcterms:created>
  <dcterms:modified xsi:type="dcterms:W3CDTF">2026-06-02T13:09:33.365Z</dcterms:modified>
</cp:coreProperties>
</file>

<file path=docProps/custom.xml><?xml version="1.0" encoding="utf-8"?>
<Properties xmlns="http://schemas.openxmlformats.org/officeDocument/2006/custom-properties" xmlns:vt="http://schemas.openxmlformats.org/officeDocument/2006/docPropsVTypes"/>
</file>