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Product-Led Growth (PLG) Guide (2026) | ClickMasters
META DESC: Product-led growth for UK SaaS. Freemium, free trial, PLG architecture, UK GDPR consent, FCA Consumer Duty, activation metrics. Expert guide.
SLUG: /uk-product-led-growth-guide/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11 min  |  Written by: James Whitmore, CTO  |  Reviewed by: ClickMasters SaaS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Product-Led Growth Guide</w:t>
      </w:r>
    </w:p>
    <w:p>
      <w:pPr>
        <w:spacing w:after="60" w:before="60"/>
      </w:pPr>
    </w:p>
    <w:p>
      <w:pPr>
        <w:pStyle w:val="Heading1"/>
        <w:spacing w:after="160" w:before="360"/>
      </w:pPr>
      <w:r>
        <w:rPr>
          <w:rFonts w:ascii="Arial" w:cs="Arial" w:eastAsia="Arial" w:hAnsi="Arial"/>
          <w:b/>
          <w:bCs/>
          <w:color w:val="0B1F3A"/>
          <w:sz w:val="40"/>
          <w:szCs w:val="40"/>
        </w:rPr>
        <w:t xml:space="preserve">UK Product-Led Growth (PLG)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PLG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Architecture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Product-led growth (PLG) lets users self-discover, activate, and expand without a sales rep. UK-specific PLG requirements: PECR (email sequences require consent), UK GDPR (free tier data cannot be used for marketing without consent), and FCA Consumer Duty (freemium conversion must not exploit psychology against consumer interest). ClickMasters builds PLG-ready SaaS architectures for UK B2B and B2C products.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PLG Architecture — UK Technical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PLG Component</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Implementation</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 Requirement</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Regulatory Note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tier sign-up</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Clerk or Cognito — zero-friction email sign-up</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Lawful basis: contract (providing free service)</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free tier must not be designed to exploit users into paid conversion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Activation analytics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(cookieless — PECR friendly)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Analytics requires PECR consent unless cookieless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self-hosted = no PECR cookie issue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In-app onboarding</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Chameleon, Appcues, or custom React Tour</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consent needed for product UX</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government PLG must not use dark patterns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Trial-to-paid conversion</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Billing — trial period, automatic conversion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PECR: transactional emails (trial expiry) = no consent needed</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 Rights Act: 14-day cancellation right from conversion date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Email nurture (activation)</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Customer.io or Loops — behaviour-triggered</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PECR: marketing emails require explicit opt-in</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FinTech: financial product emails = FCA financial promotion rules apply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Expansion revenue (upsell)</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Usage meter in Stripe Billing — automated overage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upsell uses existing customer relationship — legitimate interest (soft opt-in PECR)</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upsell must be fair value, not exploitative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Churn prevention</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Retention flows (in-app + email) — exit survey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 on cancellation: transactional (no consent)</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cancellation must not be harder than sign-up</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PLG and PECR — Email Marketing Without Consent Issues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PECR (Privacy and Electronic Communications Regulations) is the UK's email marketing law. PLG email sequences must distinguish between: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Transactional emails (no PECR consent needed): welcome email confirming registration, trial expiry notification, payment receipt, password reset, product feature announcements that users need to use the product, and cancellation confirmation. These are service communications — no PECR consent required.</w:t>
      </w:r>
    </w:p>
    <w:p>
      <w:pPr>
        <w:pStyle w:val="ListParagraph"/>
        <w:numPr>
          <w:ilvl w:val="0"/>
          <w:numId w:val="2"/>
        </w:numPr>
        <w:spacing w:after="60" w:before="60"/>
      </w:pPr>
      <w:r>
        <w:rPr>
          <w:rFonts w:ascii="Arial" w:cs="Arial" w:eastAsia="Arial" w:hAnsi="Arial"/>
          <w:color w:val="1A2332"/>
          <w:sz w:val="22"/>
          <w:szCs w:val="22"/>
        </w:rPr>
        <w:t xml:space="preserve">Marketing emails (PECR opt-in required for new subscribers): newsletters, promotional offers, feature announcements not required for product use, and competitor comparison emails. Existing customers: PECR allows soft opt-in for similar products — you can email existing paid customers about similar products without fresh consent.</w:t>
      </w:r>
    </w:p>
    <w:p>
      <w:pPr>
        <w:pStyle w:val="ListParagraph"/>
        <w:numPr>
          <w:ilvl w:val="0"/>
          <w:numId w:val="2"/>
        </w:numPr>
        <w:spacing w:after="60" w:before="60"/>
      </w:pPr>
      <w:r>
        <w:rPr>
          <w:rFonts w:ascii="Arial" w:cs="Arial" w:eastAsia="Arial" w:hAnsi="Arial"/>
          <w:color w:val="1A2332"/>
          <w:sz w:val="22"/>
          <w:szCs w:val="22"/>
        </w:rPr>
        <w:t xml:space="preserve">Behaviour-triggered emails (partial — depends on content): "You haven't logged in for 7 days" — transactional (service notification). "We've launched a new feature for your use case" — borderline (service vs marketing — err toward consent for unclear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PLG PECR best practice: at sign-up, capture explicit email consent for marketing separately from product terms. Do not bundle marketing consent into T&amp;Cs — ICO considers bundled consent invalid. A simple checkbox "I would like to receive product updates and tips" at sign-up satisfies PECR for all marketing emails.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PLG Activation Metrics — What to Measure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Metric</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Definition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Benchmark</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to Measure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Sign-up to activation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completing "aha moment" within 7 days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20–40% (varies by product complexity)</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funnel: sign-up → activation event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value (TTV)</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Time from sign-up to first value delivery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&lt; 5 minutes (simple); &lt; 24 hours (complex)</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median time between sign-up and activation event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Free-to-paid conversion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of free users converting to paid</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 (broad PLG); 8–15% (qualified PLG)</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trials converted / trials started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Active Users (MAU)</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Users active in last 30 days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Varies by product</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unique users with event in last 30 days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Expansion revenue (NRR)</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Revenue growth from existing customers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 (strong PLG)</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MRR this month / MRR 12 months ago</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first paid feature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Days from sign-up to first paid action</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&lt; 14 days (effective PLG)</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sign-up → first paid event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build a PLG free tier without giving away the product?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PLG free tier design: the free tier must create value (users experience the product and want more) without replacing the paid tier. Effective free tier limits: (1) usage limit (100 API calls/month free, 10,000 paid — user hits limit, naturally upgrades), (2) seat limit (1 user free, team requires paid), (3) feature gate (core feature free, advanced features paid — the free tier demonstrates value, paid features create the conversion incentive), (4) data retention limit (30 days free, 12 months paid — analytics products use this). Anti-pattern: free tier so limited it provides no value (users leave instead of upgrading). Free tier must create the "aha moment" — the moment the user realises the product solves their problem. The upgrade conversation happens naturally when they want more of that.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FCA Consumer Duty apply to free trial conversion emails?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applies to financial services products — not to non-financial SaaS B2B products. For UK FinTech PLG: yes, FCA Consumer Duty applies to free trial conversion for financial products. Key requirements: (1) trial expiry must be clearly communicated (not buried in small print — Consumer Duty consumer understanding outcome), (2) automatic trial-to-paid conversion must include 24-hour advance notice (FCA Consumer Duty — no surprises), (3) cancellation process must be at least as easy as sign-up process (FCA Consumer Duty — no dark patterns in offboarding), (4) trial pricing and post-trial pricing must be clearly disclosed at sign-up (no teaser rates that escalate without clear notice). For non-financial SaaS: Consumer Rights Act 2015 applies (14-day cancellation right for digital subscriptions).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SaaS Pricing Guide: /uk-saas-pricing-guide/</w:t>
      </w:r>
    </w:p>
    <w:p>
      <w:pPr>
        <w:pStyle w:val="ListParagraph"/>
        <w:numPr>
          <w:ilvl w:val="0"/>
          <w:numId w:val="3"/>
        </w:numPr>
        <w:spacing w:after="60" w:before="60"/>
      </w:pPr>
      <w:r>
        <w:rPr>
          <w:rFonts w:ascii="Arial" w:cs="Arial" w:eastAsia="Arial" w:hAnsi="Arial"/>
          <w:color w:val="1A4A8A"/>
          <w:sz w:val="22"/>
          <w:szCs w:val="22"/>
        </w:rPr>
        <w:t xml:space="preserve">UK SaaS Architecture Guide: /uk-saas-architecture-guide/</w:t>
      </w:r>
    </w:p>
    <w:p>
      <w:pPr>
        <w:pStyle w:val="ListParagraph"/>
        <w:numPr>
          <w:ilvl w:val="0"/>
          <w:numId w:val="3"/>
        </w:numPr>
        <w:spacing w:after="60" w:before="60"/>
      </w:pPr>
      <w:r>
        <w:rPr>
          <w:rFonts w:ascii="Arial" w:cs="Arial" w:eastAsia="Arial" w:hAnsi="Arial"/>
          <w:color w:val="1A4A8A"/>
          <w:sz w:val="22"/>
          <w:szCs w:val="22"/>
        </w:rPr>
        <w:t xml:space="preserve">Custom 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PLG Architecture Review</w:t>
            </w:r>
          </w:p>
          <w:p>
            <w:pPr>
              <w:spacing w:after="160" w:before="0"/>
            </w:pPr>
            <w:r>
              <w:rPr>
                <w:rFonts w:ascii="Arial" w:cs="Arial" w:eastAsia="Arial" w:hAnsi="Arial"/>
                <w:color w:val="BDD0E8"/>
                <w:sz w:val="22"/>
                <w:szCs w:val="22"/>
              </w:rPr>
              <w:t xml:space="preserve">ClickMasters will review your PLG architecture and identify PECR/GDPR compliance gaps.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PLG and SaaS architecture specialist</w:t>
            </w:r>
          </w:p>
          <w:p>
            <w:pPr>
              <w:spacing w:after="0" w:before="0"/>
            </w:pPr>
            <w:r>
              <w:rPr>
                <w:rFonts w:ascii="Arial" w:cs="Arial" w:eastAsia="Arial" w:hAnsi="Arial"/>
                <w:color w:val="1A2332"/>
                <w:sz w:val="20"/>
                <w:szCs w:val="20"/>
              </w:rPr>
              <w:t xml:space="preserve">ClickMasters has built PLG-ready SaaS for UK B2B and regulated products.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product led growth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2026-06-05T06:36:20.916Z</dcterms:created>
  <dcterms:modified xsi:type="dcterms:W3CDTF">2026-06-05T06:36:20.916Z</dcterms:modified>
</cp:coreProperties>
</file>

<file path=docProps/custom.xml><?xml version="1.0" encoding="utf-8"?>
<Properties xmlns="http://schemas.openxmlformats.org/officeDocument/2006/custom-properties" xmlns:vt="http://schemas.openxmlformats.org/officeDocument/2006/docPropsVTypes"/>
</file>