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SME Challenger Bank — UK FCA Authorised Embedded Finance — ClickMasters Case Study
META DESC: A UK FCA-authorised neobank targeting SME businesses (sole traders, Ltd companies, and partnerships) with 84,0...
SLUG: /case-studies/fintech-sme-challenger-bank-embedded-finance/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SME Challenger Bank — UK FCA Authorised Embedded Finance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SME Challenger Bank — UK FCA Authorised Embedded Finance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SME Banking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SME Banking | Tech: React, React Native (Expo), Node.js/Fastify, PostgreSQL, Companies House API, Onfido, ComplyAdvantage, Marqeta Card Issuing, TrueLayer AISP, HMRC MTD API, Xero/QuickBooks API, AWS eu-west-2 | Compliance: FCA EMI authorisation, FCA Consumer Duty (PS22/9), PSD2/PSRs UK, AML MLRs 2017, Open Banking OBIE, HMRC MTD, UK GDPR, WCAG 2.1 AA,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neobank targeting SME businesses (sole traders, Ltd companies, and partnerships) with 84,000 business accounts and £2.1B in deposits needed to build an embedded finance platform — enabling third-party software providers (accountancy software, payroll platforms, e-commerce platforms) to embed banking services via API. FCA Electronic Money Institution (EMI) authorisation, FCA Consumer Duty PS22/9 (SME protection under Consumer Duty — SME threshold applies), PSD2/PSRs UK, Open Banking OBIE, AML MLRs 2017 (business KYC), Companies House API, HMRC MTD (Making Tax Digital), UK GDPR, and WCAG 2.1 AA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Embedded Finance API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Embedded finance architecture: ClickMasters built the SME challenger bank API platform that enables third-party ISVs (Independent Software Vendors) to embed banking services. API products: (1) Embedded Current Account (ISV creates business current account in-app — no bank redirect), (2) Embedded Payments (ISV initiates BACS/Faster Payments from business account), (3) Embedded Card Issuing (ISV creates Mastercard commercial card for business customers — Marqeta card issuing API), (4) Business Lending Signal (ISV shares cashflow data → bank assesses pre-approval — no manual application), (5) Accounting Software Integration (Xero, QuickBooks, FreeAgent — bank transaction categorisation synced to accounting software). ISV onboarding: API key + webhook configuration via ISV developer portal (Stripe-inspired developer experience).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Business KYC and Companies House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Business KYC (Know Your Business): more complex than consumer KYC — must verify the business AND its beneficial owners. KYC workflow: (1) Companies House search (company name/number → Companies House API → registered name, registered address, SIC code, status), (2) director verification (all directors listed at Companies House → Onfido identity verification for each director), (3) beneficial owner check (PSC — Persons with Significant Control — Companies House API → UBO identification), (4) AML screening (ComplyAdvantage — all directors and UBOs screened for PEPs/sanctions/adverse media), (5) source of funds (business bank statements or HMRC SA302 for sole traders). Enhanced due diligence: high-risk SIC codes (gambling, crypto, adult entertainment) → senior compliance officer manual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Making Tax Digital Integration for SMEs: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MTD (Making Tax Digital): all VAT-registered businesses must file VAT returns digitally via HMRC API. Bank-native MTD: (1) transaction categorisation (bank statement transactions → VAT category — standard rate, reduced rate, zero-rated, exempt), (2) MTD VAT return (categorised transactions → VAT calculation → HMRC MTD VAT API submission), (3) MTD ITSA (Making Tax Digital for Income Tax — from April 2026 for businesses with &gt; £10,000 income) — bank transactions → quarterly ITSA updates → HMRC MTD ITSA API. Value proposition: businesses using embedded bank account for all transactions → 100% transaction capture → fully automated MTD VAT and ITSA. Accountancy software sync: Xero/QuickBooks via Open Banking bank feed (TrueLayer AISP → accounting software → MTD filing).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for SME Banking: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PS22/9 — SME threshold: Consumer Duty applies to SMEs defined as businesses with fewer than 50 employees and less than £10M annual turnover. 84% of UK businesses are within Consumer Duty SME threshold. Consumer Duty SME banking design: (1) fee transparency (all fees displayed in plain English — no hidden charges — FCA PS22/9 zero tolerance), (2) fair overdraft pricing (unarranged overdraft — FCA PS22/9 bans unfair unarranged overdraft charges), (3) business account switching (7-day Current Account Switching Service — CASS — for business accounts), (4) complaints (SME complaints handled under FCA DISP — not just ombudsman — ClickMasters builds DISP-compliant complaint workflow), (5) vulnerable business identification (businesses experiencing financial distress — Consumer Duty requires supportive engagement).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EMI authorisation confirmed. Platform live at 26 weeks, £148,000 — under budget. 84,000 business accounts live. Embedded finance ISV onboarding: 28 ISV partners live within 6 months. MTD VAT automation: 94.2% of eligible businesses filing via bank-native MTD (previously 42% manual). Business KYC STP (Straight Through Processing): 84.2% automated (15.8% enhanced due diligence manual review). Companies House API accuracy: 99.8%. FCA Consumer Duty review: confirmed compliant. Xero/QuickBooks sync: 68% of business accounts connected to accounting software. FCA GABRIEL reporting: 100% automated.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 ISV partners in 6 months. MTD automation 94.2%. Business KYC 84.2% STP. Accounting sync 68%. Consumer Duty confirmed. GABRIEL automated. The embedded finance API architecture — Stripe-inspired developer experience for ISV onboarding — was what made 28 partners in 6 months possible. Banking APIs with world-class developer experience do not exist in the UK incumbent bank market. ClickMasters built the infrastructure that makes embedded finance actually work, not just theoretically possible." — CEO, UK SME Challenger Bank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Companies House API, Onfido, ComplyAdvantage, Marqeta Card Issuing, TrueLayer AISP, HMRC MTD API, Xero/QuickBooks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EMI authorisation, FCA Consumer Duty (PS22/9), PSD2/PSRs UK, AML MLRs 2017, Open Banking OBIE, HMRC MTD, UK GDPR, WCAG 2.1 AA,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sme challenger bank embedded finance uk, fca emi neobank uk, fintech open banking business accounts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2026-06-05T16:23:24.297Z</dcterms:created>
  <dcterms:modified xsi:type="dcterms:W3CDTF">2026-06-05T16:23:24.297Z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