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Dubai | UK Agency | ClickMasters
META DESC: Custom software for Dubai. UK-based agency.
SLUG: /custom-software-development-dubai/</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April 2026  |  Reading time: 7 min  |  Written by: ClickMasters Global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Dubai</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Dubai — UK-Based Agency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Dubai</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UAE / Middle East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serves Dubai businesses with UK-based engineering. Data protection requirements addressed. £12,000–£200,000+.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Dubai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Dubai is the UAE's commercial capital and the Middle East's dominant technology hub — home to a rapidly growing ecosystem of technology companies, FinTech firms (DIFC FinTech Hive), and ambitious digital transformation initiatives (Dubai 10X, Smart Dubai). The DIFC (Dubai International Financial Centre) provides an English common law jurisdiction attractive to UK companies. Dubai has a large expatriate technology community with international experience.</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Careem HQ Dubai (ride-hailing + super-app — acquired by Uber for $3.1B), Noon HQ (e-commerce — Arabic Amazon), Property Finder HQ (PropTech — MENA leader), Souq/Amazon.ae, ADIB Technology (Abu Dhabi Islamic Bank), Emirates NBD Technology, Mashreq Bank Technology, SAP Dubai Middle East HQ, Microsoft Dubai MENA HQ, talabat (food delivery — Delivery Hero subsidiary)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GDPR international transfer: UAE (including Dubai) does not have UK adequacy. Data transfers require UK IDTA or SCCs with UK addendum. UAE's Federal Decree-Law No. 45 of 2021 (PDPL) is the UAE's data protection law — overseen by UAE Data Office. DIFC has its own data protection law (DIFC DP Law 2020) which is GDPR-aligned and provides stronger protections. ClickMasters serves DIFC-domiciled clients under DIFC DP Law. For mainland UAE: PDPL applies with IDTA required. AED, USD, or GBP invoicing available. Timezone: GST (UTC+4) — good overlap with UK hours.</w:t>
            </w:r>
          </w:p>
        </w:tc>
      </w:tr>
    </w:tbl>
    <w:p>
      <w:pPr>
        <w:spacing w:after="60" w:before="60"/>
      </w:pP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international delivery expertise.</w:t>
      </w:r>
    </w:p>
    <w:p>
      <w:pPr>
        <w:pStyle w:val="ListParagraph"/>
        <w:numPr>
          <w:ilvl w:val="0"/>
          <w:numId w:val="2"/>
        </w:numPr>
        <w:spacing w:after="60" w:before="60"/>
      </w:pPr>
      <w:r>
        <w:rPr>
          <w:rFonts w:ascii="Arial" w:cs="Arial" w:eastAsia="Arial" w:hAnsi="Arial"/>
          <w:color w:val="1A2332"/>
          <w:sz w:val="22"/>
          <w:szCs w:val="22"/>
        </w:rPr>
        <w:t xml:space="preserve">UK GDPR requirements addressed upfront.</w:t>
      </w:r>
    </w:p>
    <w:p>
      <w:pPr>
        <w:pStyle w:val="ListParagraph"/>
        <w:numPr>
          <w:ilvl w:val="0"/>
          <w:numId w:val="2"/>
        </w:numPr>
        <w:spacing w:after="60" w:before="60"/>
      </w:pPr>
      <w:r>
        <w:rPr>
          <w:rFonts w:ascii="Arial" w:cs="Arial" w:eastAsia="Arial" w:hAnsi="Arial"/>
          <w:color w:val="1A2332"/>
          <w:sz w:val="22"/>
          <w:szCs w:val="22"/>
        </w:rPr>
        <w:t xml:space="preserve">Zero IR35 — our engineers are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serve Dubai?</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remote delivery with on-site visits.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Data protection?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Transfer requirements confirmed before any personal data is processed.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color w:val="1A4A8A"/>
          <w:sz w:val="22"/>
          <w:szCs w:val="22"/>
        </w:rPr>
        <w:t xml:space="preserve">UK GDPR International Transfers: /uk-gdpr-international-transfers/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Dubai</w:t>
            </w:r>
          </w:p>
          <w:p>
            <w:pPr>
              <w:spacing w:after="160" w:before="0"/>
            </w:pPr>
            <w:r>
              <w:rPr>
                <w:rFonts w:ascii="Arial" w:cs="Arial" w:eastAsia="Arial" w:hAnsi="Arial"/>
                <w:color w:val="BDD0E8"/>
                <w:sz w:val="22"/>
                <w:szCs w:val="22"/>
              </w:rPr>
              <w:t xml:space="preserve">Data protection addressed from day one.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Global Team</w:t>
            </w:r>
          </w:p>
          <w:p>
            <w:pPr>
              <w:spacing w:after="80" w:before="0"/>
            </w:pPr>
            <w:r>
              <w:rPr>
                <w:rFonts w:ascii="Arial" w:cs="Arial" w:eastAsia="Arial" w:hAnsi="Arial"/>
                <w:b/>
                <w:bCs/>
                <w:color w:val="E8612A"/>
                <w:sz w:val="20"/>
                <w:szCs w:val="20"/>
              </w:rPr>
              <w:t xml:space="preserve">International delivery specialists</w:t>
            </w:r>
          </w:p>
          <w:p>
            <w:pPr>
              <w:spacing w:after="0" w:before="0"/>
            </w:pPr>
            <w:r>
              <w:rPr>
                <w:rFonts w:ascii="Arial" w:cs="Arial" w:eastAsia="Arial" w:hAnsi="Arial"/>
                <w:color w:val="1A2332"/>
                <w:sz w:val="20"/>
                <w:szCs w:val="20"/>
              </w:rPr>
              <w:t xml:space="preserve">Serving clients globally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"custom software development dubai"</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2026-06-05T16:45:19.634Z</dcterms:created>
  <dcterms:modified xsi:type="dcterms:W3CDTF">2026-06-05T16:45:19.634Z</dcterms:modified>
</cp:coreProperties>
</file>

<file path=docProps/custom.xml><?xml version="1.0" encoding="utf-8"?>
<Properties xmlns="http://schemas.openxmlformats.org/officeDocument/2006/custom-properties" xmlns:vt="http://schemas.openxmlformats.org/officeDocument/2006/docPropsVTypes"/>
</file>