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GovTech Digital Development Guide (2026) | ClickMasters
META DESC: GovTech digital development guide. GDS Service Standard, GOV.UK Design System, GOV.UK One Login, GOV.UK Pay, NCSC, Cyber Essentials Plus. Expert guide.
SLUG: /uk-govtech-digital-development-guide/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14 min  |  Written by: James Whitmore, CTO  |  Reviewed by: ClickMasters GovTech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GovTech Digital Development Guide</w:t>
      </w:r>
    </w:p>
    <w:p>
      <w:pPr>
        <w:spacing w:after="60" w:before="60"/>
      </w:pPr>
    </w:p>
    <w:p>
      <w:pPr>
        <w:pStyle w:val="Heading1"/>
        <w:spacing w:after="160" w:before="360"/>
      </w:pPr>
      <w:r>
        <w:rPr>
          <w:rFonts w:ascii="Arial" w:cs="Arial" w:eastAsia="Arial" w:hAnsi="Arial"/>
          <w:b/>
          <w:bCs/>
          <w:color w:val="0B1F3A"/>
          <w:sz w:val="40"/>
          <w:szCs w:val="40"/>
        </w:rPr>
        <w:t xml:space="preserve">UK GovTech Digital Development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NCSC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GOV.UK Pay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Review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government digital services must comply with the GDS Service Standard (17 points), use GOV.UK Design System components, integrate GOV.UK common platforms (Pay, Notify, One Login), achieve Cyber Essentials Plus, and demonstrate WCAG 2.1 AA accessibility. ClickMasters has delivered 12 GDS Live-assessed government services, 3 on G-Cloud 14 and DOS 6.</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GDS Service Standard — 17 Points in Practice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2826"/>
      </w:tblGrid>
      <w:tr>
        <w:trPr>
          <w:tblHeader/>
        </w:trPr>
        <w:tc>
          <w:tcPr>
            <w:tcW w:type="dxa" w:w="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Point</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Standard</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 Practice</w:t>
            </w:r>
          </w:p>
        </w:tc>
        <w:tc>
          <w:tcPr>
            <w:tcW w:type="dxa" w:w="2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Approach</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1</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Understand users and their needs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User research with 3+ participants before Alpha</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User research sessions conducted by ClickMasters researcher</w:t>
            </w:r>
          </w:p>
        </w:tc>
      </w:tr>
      <w:tr>
        <w:tc>
          <w:tcPr>
            <w:tcW w:type="dxa" w:w="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2</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Solve a whole problem for users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End-to-end journey (not just one screen)</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Journey mapping in Sprint 0 discovery</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Provide a joined-up experience</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Connect to other government services</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 common platforms (Pay, Notify, One Login)</w:t>
            </w:r>
          </w:p>
        </w:tc>
      </w:tr>
      <w:tr>
        <w:tc>
          <w:tcPr>
            <w:tcW w:type="dxa" w:w="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4</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Make the service simple to use</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 thing per page, progressive disclosure</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 Design System — no custom patterns</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5</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Make sure everyone can use the service</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 every sprint</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axe-core in CI/CD — zero critical violations</w:t>
            </w:r>
          </w:p>
        </w:tc>
      </w:tr>
      <w:tr>
        <w:tc>
          <w:tcPr>
            <w:tcW w:type="dxa" w:w="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9</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Create a secure service</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NCSC Cloud Security Principles</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Plus + AWS CDK security controls</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11</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Choose the right tools and technology</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 source preferred, GDS-approved tech</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Node.js/Python/React — GDS tech stack</w:t>
            </w:r>
          </w:p>
        </w:tc>
      </w:tr>
      <w:tr>
        <w:tc>
          <w:tcPr>
            <w:tcW w:type="dxa" w:w="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12</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Make new source code open</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GitHub public repo as default</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Agpl-3.0 or MIT licensed code on GitHub</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16</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Make your technology choices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talent pool, open standards</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OpenAPI 3.0, GOV.UK common platforms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GOV.UK Common Platforms — Integration 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2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Platform</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Does</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When to Use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Integration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One Login</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Central UK government identity — email + MFA + optional identity proof</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citizen-facing government services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react-oidc-context, PKCE flow, P5/P9 levels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Pay</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Card payment processing — PCI-DSS SAQ-A</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When government service collects payment</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 Pay API + webhook for payment confirmation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Notify</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Email, SMS, letter notifications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automated government communications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govuk-frontend Notify API + GOV.UK Notify SDK</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Forms</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Low-code form builder for simple services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data collection without custom code</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Considered before custom build — simpler faster</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Frontend (React)</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implementation of GOV.UK Design System</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government React/Next.js applications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govuk-react or govuk-frontend-react component library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GDS Service Assessment — Alpha/Beta/Live Evidence Checklist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GDS assessors review evidence across all 17 Service Standard points. Most common assessment failures: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Point 1 (User Needs): insufficient user research — fewer than 3 participants, or research not informing design decisions. ClickMasters: 3+ user research sessions before Alpha assessment, affinity mapping of findings, evidence that design changed based on research.</w:t>
      </w:r>
    </w:p>
    <w:p>
      <w:pPr>
        <w:pStyle w:val="ListParagraph"/>
        <w:numPr>
          <w:ilvl w:val="0"/>
          <w:numId w:val="2"/>
        </w:numPr>
        <w:spacing w:after="60" w:before="60"/>
      </w:pPr>
      <w:r>
        <w:rPr>
          <w:rFonts w:ascii="Arial" w:cs="Arial" w:eastAsia="Arial" w:hAnsi="Arial"/>
          <w:color w:val="1A2332"/>
          <w:sz w:val="22"/>
          <w:szCs w:val="22"/>
        </w:rPr>
        <w:t xml:space="preserve">Point 5 (Accessibility): WCAG 2.1 AA violations. Most common: keyboard navigation gaps, colour contrast failures, missing form error messages. ClickMasters: axe-core in CI/CD + quarterly manual screen reader (NVDA) test. Zero critical WCAG violations at assessment time.</w:t>
      </w:r>
    </w:p>
    <w:p>
      <w:pPr>
        <w:pStyle w:val="ListParagraph"/>
        <w:numPr>
          <w:ilvl w:val="0"/>
          <w:numId w:val="2"/>
        </w:numPr>
        <w:spacing w:after="60" w:before="60"/>
      </w:pPr>
      <w:r>
        <w:rPr>
          <w:rFonts w:ascii="Arial" w:cs="Arial" w:eastAsia="Arial" w:hAnsi="Arial"/>
          <w:color w:val="1A2332"/>
          <w:sz w:val="22"/>
          <w:szCs w:val="22"/>
        </w:rPr>
        <w:t xml:space="preserve">Point 9 (Security): no penetration test evidence or Cyber Essentials. ClickMasters: Cyber Essentials at Beta assessment, CREST penetration test at Live assessment. NCSC Cloud Security Principles checklist documented.</w:t>
      </w:r>
    </w:p>
    <w:p>
      <w:pPr>
        <w:pStyle w:val="ListParagraph"/>
        <w:numPr>
          <w:ilvl w:val="0"/>
          <w:numId w:val="2"/>
        </w:numPr>
        <w:spacing w:after="60" w:before="60"/>
      </w:pPr>
      <w:r>
        <w:rPr>
          <w:rFonts w:ascii="Arial" w:cs="Arial" w:eastAsia="Arial" w:hAnsi="Arial"/>
          <w:color w:val="1A2332"/>
          <w:sz w:val="22"/>
          <w:szCs w:val="22"/>
        </w:rPr>
        <w:t xml:space="preserve">Point 12 (Open source): code not publicly available. ClickMasters: public GitHub repository from Sprint 1 (client permits — most government digital work should be open source). If client data sensitivity requires private, explain at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ClickMasters GDS assessment track record: 12 GDS Live assessments passed on first submission. Most common first-submission failure elsewhere: insufficient user research evidence (Point 1) and WCAG violations (Point 5). ClickMasters builds both into delivery from Sprint 1 — not as preparation for assessment, but as standard practice.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GDS service assessment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GDS service assessment timeline: (1) Alpha assessment (typically 4–6 months into delivery): panel of 3–5 GDS assessors, 4-hour assessment, evidence reviewed against 17 points. Pass/fail/conditional pass. (2) Beta assessment (6–12 months into delivery): same format, higher evidence bar. (3) Live assessment (at launch): most rigorous — must demonstrate all 17 points in production. ClickMasters assessment preparation: 2-week evidence pack preparation sprint before each assessment. Assessment evidence pack includes: user research synthesis, accessibility audit, security evidence, architecture decision records, performance analytics. GDS assessment is a quality gate — not a hurdle. Services that fail are usually genuinely not ready.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G-Cloud 14 or DOS 6 better for UK government software procurement?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G-Cloud 14 (RM1557.14): used for cloud software and hosting services (SaaS platforms, infrastructure). ClickMasters G-Cloud services: custom software development (cloud-hosted), managed DevOps, software consultancy. DOS 6 (RM1043.8 — Digital Outcomes and Specialists 6): used for digital outcomes (bespoke digital projects — "I need a team to build X") and specialists (individual contractors). ClickMasters DOS 6 services: digital outcomes (custom government software delivery), digital specialists (individual GDS engineers, user researchers, delivery managers). Which to use: for a defined project → DOS 6 Digital Outcomes. For ongoing SaaS or cloud services → G-Cloud 14. For individual specialists → DOS 6 Digital Specialists. ClickMasters is registered on both frameworks — client chooses the appropriate procurement route.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3"/>
        </w:numPr>
        <w:spacing w:after="60" w:before="60"/>
      </w:pPr>
      <w:r>
        <w:rPr>
          <w:rFonts w:ascii="Arial" w:cs="Arial" w:eastAsia="Arial" w:hAnsi="Arial"/>
          <w:color w:val="1A4A8A"/>
          <w:sz w:val="22"/>
          <w:szCs w:val="22"/>
        </w:rPr>
        <w:t xml:space="preserve">UK NHS Digital Development Guide: /uk-nhs-digital-development-guide/</w:t>
      </w:r>
    </w:p>
    <w:p>
      <w:pPr>
        <w:pStyle w:val="ListParagraph"/>
        <w:numPr>
          <w:ilvl w:val="0"/>
          <w:numId w:val="3"/>
        </w:numPr>
        <w:spacing w:after="60" w:before="60"/>
      </w:pPr>
      <w:r>
        <w:rPr>
          <w:rFonts w:ascii="Arial" w:cs="Arial" w:eastAsia="Arial" w:hAnsi="Arial"/>
          <w:color w:val="1A4A8A"/>
          <w:sz w:val="22"/>
          <w:szCs w:val="22"/>
        </w:rPr>
        <w:t xml:space="preserve">UK FinTech Compliance Guide: /uk-fintech-compliance-guide/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GDS Assessment Readiness Review</w:t>
            </w:r>
          </w:p>
          <w:p>
            <w:pPr>
              <w:spacing w:after="160" w:before="0"/>
            </w:pPr>
            <w:r>
              <w:rPr>
                <w:rFonts w:ascii="Arial" w:cs="Arial" w:eastAsia="Arial" w:hAnsi="Arial"/>
                <w:color w:val="BDD0E8"/>
                <w:sz w:val="22"/>
                <w:szCs w:val="22"/>
              </w:rPr>
              <w:t xml:space="preserve">ClickMasters will assess your service against GDS Service Standard and identify gaps before Alpha.</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GovTech specialist — 12 GDS Live assessments passed, G-Cloud 14 + DOS 6 registered</w:t>
            </w:r>
          </w:p>
          <w:p>
            <w:pPr>
              <w:spacing w:after="0" w:before="0"/>
            </w:pPr>
            <w:r>
              <w:rPr>
                <w:rFonts w:ascii="Arial" w:cs="Arial" w:eastAsia="Arial" w:hAnsi="Arial"/>
                <w:color w:val="1A2332"/>
                <w:sz w:val="20"/>
                <w:szCs w:val="20"/>
              </w:rPr>
              <w:t xml:space="preserve">ClickMasters delivers GDS-compliant government digital services from Sprint 1. The Service Standard is not a checklist — it is how good government digital services are built.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govtech digital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2026-06-05T16:45:20.024Z</dcterms:created>
  <dcterms:modified xsi:type="dcterms:W3CDTF">2026-06-05T16:45:20.024Z</dcterms:modified>
</cp:coreProperties>
</file>

<file path=docProps/custom.xml><?xml version="1.0" encoding="utf-8"?>
<Properties xmlns="http://schemas.openxmlformats.org/officeDocument/2006/custom-properties" xmlns:vt="http://schemas.openxmlformats.org/officeDocument/2006/docPropsVTypes"/>
</file>