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AI Development for RetailTech UK | ClickMasters
META DESC: AI Development for UK RetailTech. UK GDPR. GBP25,000--GBP120,000.
SLUG: /retailtech-ai-development-retailtech/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May 2026  |  Reading time: 9 min  |  Written by: ClickMasters RetailTech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RetailTech Software</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AI Development for RetailTech</w:t>
      </w:r>
    </w:p>
    <w:p>
      <w:pPr>
        <w:spacing w:after="60" w:before="60"/>
      </w:pPr>
    </w:p>
    <w:p>
      <w:pPr>
        <w:pStyle w:val="Heading1"/>
        <w:spacing w:after="160" w:before="360"/>
      </w:pPr>
      <w:r>
        <w:rPr>
          <w:rFonts w:ascii="Arial" w:cs="Arial" w:eastAsia="Arial" w:hAnsi="Arial"/>
          <w:b/>
          <w:bCs/>
          <w:color w:val="0B1F3A"/>
          <w:sz w:val="40"/>
          <w:szCs w:val="40"/>
        </w:rPr>
        <w:t xml:space="preserve">AI Development for UK RetailTech -- UK GDPR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RetailTech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GBP25,000--GBP120,000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AI Development for UK RetailTech businesses with UK GDPR,  PECR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AI Development for RetailTech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UK RetailTech AI Use Cases 2026: </w:t>
      </w:r>
      <w:r>
        <w:rPr>
          <w:rFonts w:ascii="Arial" w:cs="Arial" w:eastAsia="Arial" w:hAnsi="Arial"/>
          <w:b w:val="false"/>
          <w:bCs w:val="false"/>
          <w:i w:val="false"/>
          <w:iCs w:val="false"/>
          <w:color w:val="1A2332"/>
          <w:sz w:val="22"/>
          <w:szCs w:val="22"/>
        </w:rPr>
        <w:t xml:space="preserve">Six main production use cases: (1) personalisation (recommendation engine -- PECR consent required for behavioural tracking), (2) visual search (image to product match -- embedding model to vector search), (3) demand forecasting (ML model predicting stock -- reduces overstock and stockout), (4) dynamic pricing (competitor monitoring plus demand signal -- FCA Consumer Duty: pricing must be fair), (5) returns fraud detection (pattern analysis on returns behaviour -- Equality Act: must not discriminate on protected characteristics), (6) conversational commerce (AI chatbot for product discovery -- must not mislead).</w:t>
      </w:r>
    </w:p>
    <w:p>
      <w:pPr>
        <w:spacing w:after="60" w:before="60"/>
      </w:pPr>
    </w:p>
    <w:p>
      <w:pPr>
        <w:spacing w:after="160" w:before="100"/>
      </w:pPr>
      <w:r>
        <w:rPr>
          <w:rFonts w:ascii="Arial" w:cs="Arial" w:eastAsia="Arial" w:hAnsi="Arial"/>
          <w:b/>
          <w:bCs/>
          <w:i w:val="false"/>
          <w:iCs w:val="false"/>
          <w:color w:val="E8612A"/>
          <w:sz w:val="22"/>
          <w:szCs w:val="22"/>
        </w:rPr>
        <w:t xml:space="preserve">ICO UK AI Guidance for Retail: </w:t>
      </w:r>
      <w:r>
        <w:rPr>
          <w:rFonts w:ascii="Arial" w:cs="Arial" w:eastAsia="Arial" w:hAnsi="Arial"/>
          <w:b w:val="false"/>
          <w:bCs w:val="false"/>
          <w:i w:val="false"/>
          <w:iCs w:val="false"/>
          <w:color w:val="1A2332"/>
          <w:sz w:val="22"/>
          <w:szCs w:val="22"/>
        </w:rPr>
        <w:t xml:space="preserve">ICO UK guidance on AI in retail: (1) transparency (customers must be told AI is used for significant decisions such as personalised pricing), (2) human oversight (automated significant decisions affecting protected groups must have human review option), (3) data minimisation (AI training data -- only collect what is needed for stated AI purpose), (4) purpose limitation (data collected for one purpose cannot train AI for another without consent), (5) accuracy (AI models must be regularly monitored for accuracy and bias -- ICO expects documented model performance review).</w:t>
      </w:r>
    </w:p>
    <w:p>
      <w:pPr>
        <w:spacing w:after="60" w:before="60"/>
      </w:pPr>
    </w:p>
    <w:p>
      <w:pPr>
        <w:spacing w:after="160" w:before="100"/>
      </w:pPr>
      <w:r>
        <w:rPr>
          <w:rFonts w:ascii="Arial" w:cs="Arial" w:eastAsia="Arial" w:hAnsi="Arial"/>
          <w:b/>
          <w:bCs/>
          <w:i w:val="false"/>
          <w:iCs w:val="false"/>
          <w:color w:val="E8612A"/>
          <w:sz w:val="22"/>
          <w:szCs w:val="22"/>
        </w:rPr>
        <w:t xml:space="preserve">Retail AI Recommendation Engine Architecture: </w:t>
      </w:r>
      <w:r>
        <w:rPr>
          <w:rFonts w:ascii="Arial" w:cs="Arial" w:eastAsia="Arial" w:hAnsi="Arial"/>
          <w:b w:val="false"/>
          <w:bCs w:val="false"/>
          <w:i w:val="false"/>
          <w:iCs w:val="false"/>
          <w:color w:val="1A2332"/>
          <w:sz w:val="22"/>
          <w:szCs w:val="22"/>
        </w:rPr>
        <w:t xml:space="preserve">Architecture: (1) user event tracking (PECR consent gates tracking -- add to basket, view, purchase), (2) embedding model (product embeddings -- sentence-transformers or OpenAI ada-002), (3) vector database (Pinecone or pgvector -- sub-50ms nearest neighbour), (4) collaborative filtering (ALS or BPR sparse matrix factorisation), (5) hybrid ranking (collaborative plus content-based plus popularity -- in-stock filter, margin-optimised). PECR fallback: recommendations degrade to popularity-based without consent.</w:t>
      </w:r>
    </w:p>
    <w:p>
      <w:pPr>
        <w:spacing w:after="60" w:before="60"/>
      </w:pPr>
    </w:p>
    <w:p>
      <w:pPr>
        <w:spacing w:after="160" w:before="100"/>
      </w:pPr>
      <w:r>
        <w:rPr>
          <w:rFonts w:ascii="Arial" w:cs="Arial" w:eastAsia="Arial" w:hAnsi="Arial"/>
          <w:b/>
          <w:bCs/>
          <w:i w:val="false"/>
          <w:iCs w:val="false"/>
          <w:color w:val="E8612A"/>
          <w:sz w:val="22"/>
          <w:szCs w:val="22"/>
        </w:rPr>
        <w:t xml:space="preserve">Retail Demand Forecasting ML: </w:t>
      </w:r>
      <w:r>
        <w:rPr>
          <w:rFonts w:ascii="Arial" w:cs="Arial" w:eastAsia="Arial" w:hAnsi="Arial"/>
          <w:b w:val="false"/>
          <w:bCs w:val="false"/>
          <w:i w:val="false"/>
          <w:iCs w:val="false"/>
          <w:color w:val="1A2332"/>
          <w:sz w:val="22"/>
          <w:szCs w:val="22"/>
        </w:rPr>
        <w:t xml:space="preserve">(1) Data pipeline (POS sales, promotional calendar, weather, competitor prices, social trends to feature store), (2) model (Prophet for univariate, LightGBM for multivariate with promotions and seasonality), (3) forecast horizon (28-day rolling -- 1 week perishables, 4 weeks fashion), (4) uncertainty quantification (prediction intervals shown to buyer -- not just point estimate), (5) replenishment integration (forecast to ERP purchase order). UK seasonal events as model features: Black Friday, Christmas, Easter, school holidays.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UK GDPR, PECR, ICO AI Guidance, Equality Act 2010, FCA Consumer Duty (if credit)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RetailTech AI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GBP25,000--GBP120,000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GBP3,500-GBP8,000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Best recommendation engine for UK e-commerce?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recommendation: hybrid collaborative filtering plus content-based with PECR consent management. Start with item-based collaborative filtering and content-based (no consent required -- aggregate behaviour). Add consent-gated personalisation for full history. PECR-first design: recommendations work without consent -- consent rates typically 60-70%, so 30-40% of customers get non-personalised anyway.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ICO AI transparency for retail pricing?</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(1) Privacy notice update (add AI section), (2) AI transparency statement (plain English -- what data used, how to opt out), (3) opt-out mechanism (customer can opt out of AI personalised pricing -- must not worsen service), (4) human review for significant pricing decisions (&gt;20% increase vs standard -- human review before applying), (5) bias monitoring documentation (quarterly review across demographic groups -- ICO expects documented monitoring).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eCommerce Software UK: /ecommerce-software-development/</w:t>
      </w:r>
    </w:p>
    <w:p>
      <w:pPr>
        <w:pStyle w:val="ListParagraph"/>
        <w:numPr>
          <w:ilvl w:val="0"/>
          <w:numId w:val="2"/>
        </w:numPr>
        <w:spacing w:after="60" w:before="60"/>
      </w:pPr>
      <w:r>
        <w:rPr>
          <w:rFonts w:ascii="Arial" w:cs="Arial" w:eastAsia="Arial" w:hAnsi="Arial"/>
          <w:color w:val="1A4A8A"/>
          <w:sz w:val="22"/>
          <w:szCs w:val="22"/>
        </w:rPr>
        <w:t xml:space="preserve">AI Development UK: /ai-software-development/</w:t>
      </w:r>
    </w:p>
    <w:p>
      <w:pPr>
        <w:pStyle w:val="ListParagraph"/>
        <w:numPr>
          <w:ilvl w:val="0"/>
          <w:numId w:val="2"/>
        </w:numPr>
        <w:spacing w:after="60" w:before="60"/>
      </w:pPr>
      <w:r>
        <w:rPr>
          <w:rFonts w:ascii="Arial" w:cs="Arial" w:eastAsia="Arial" w:hAnsi="Arial"/>
          <w:color w:val="1A4A8A"/>
          <w:sz w:val="22"/>
          <w:szCs w:val="22"/>
        </w:rPr>
        <w:t xml:space="preserve">UK Architecture Guide: /uk-software-architecture-guide/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RetailTech AI Development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RetailTech Team</w:t>
            </w:r>
          </w:p>
          <w:p>
            <w:pPr>
              <w:spacing w:after="80" w:before="0"/>
            </w:pPr>
            <w:r>
              <w:rPr>
                <w:rFonts w:ascii="Arial" w:cs="Arial" w:eastAsia="Arial" w:hAnsi="Arial"/>
                <w:b/>
                <w:bCs/>
                <w:color w:val="E8612A"/>
                <w:sz w:val="20"/>
                <w:szCs w:val="20"/>
              </w:rPr>
              <w:t xml:space="preserve">RetailTech specialists</w:t>
            </w:r>
          </w:p>
          <w:p>
            <w:pPr>
              <w:spacing w:after="0" w:before="0"/>
            </w:pPr>
            <w:r>
              <w:rPr>
                <w:rFonts w:ascii="Arial" w:cs="Arial" w:eastAsia="Arial" w:hAnsi="Arial"/>
                <w:color w:val="1A2332"/>
                <w:sz w:val="20"/>
                <w:szCs w:val="20"/>
              </w:rPr>
              <w:t xml:space="preserve">Delivering AI Development for UK RetailTech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"retailtech ai development uk 2026"</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2026-06-06T13:11:58.802Z</dcterms:created>
  <dcterms:modified xsi:type="dcterms:W3CDTF">2026-06-06T13:11:58.802Z</dcterms:modified>
</cp:coreProperties>
</file>

<file path=docProps/custom.xml><?xml version="1.0" encoding="utf-8"?>
<Properties xmlns="http://schemas.openxmlformats.org/officeDocument/2006/custom-properties" xmlns:vt="http://schemas.openxmlformats.org/officeDocument/2006/docPropsVTypes"/>
</file>