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Legacy Modernisation for InsurTech UK | ClickMasters
META DESC: Legacy Modernisation for UK InsurTech. FCA ICOBS. GBP30,000--GBP150,000.
SLUG: /insurtech-legacy-modernisation-insurtech/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Legacy Modernisation for InsurTech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GBP30,000--GBP150,000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Legacy Modernisation for UK InsurTech with FCA ICOBS,  FCA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InsurTech -- UK Specifics</w:t>
            </w:r>
          </w:p>
        </w:tc>
      </w:tr>
    </w:tbl>
    <w:p>
      <w:pPr>
        <w:spacing w:after="60" w:before="60"/>
      </w:pPr>
    </w:p>
    <w:p>
      <w:pPr>
        <w:spacing w:after="160" w:before="100"/>
      </w:pPr>
      <w:r>
        <w:rPr>
          <w:rFonts w:ascii="Arial" w:cs="Arial" w:eastAsia="Arial" w:hAnsi="Arial"/>
          <w:b/>
          <w:bCs/>
          <w:color w:val="E8612A"/>
          <w:sz w:val="22"/>
          <w:szCs w:val="22"/>
        </w:rPr>
        <w:t xml:space="preserve">UK InsurTech Legacy Platforms: </w:t>
      </w:r>
      <w:r>
        <w:rPr>
          <w:rFonts w:ascii="Arial" w:cs="Arial" w:eastAsia="Arial" w:hAnsi="Arial"/>
          <w:b w:val="false"/>
          <w:bCs w:val="false"/>
          <w:color w:val="1A2332"/>
          <w:sz w:val="22"/>
          <w:szCs w:val="22"/>
        </w:rPr>
        <w:t xml:space="preserve">Common platforms: (1) Guidewire on-premises (Policy Center, Claims Center -- expensive upgrade cycles), (2) Duck Creek (migrating to cloud), (3) legacy COBOL underwriting (Lloyds market -- pre-Blueprint Two), (4) legacy .NET Framework 4.x (Consumer Duty UX overhaul required). Lloyds Blueprint Two CDR: all MGAs and coverholders must submit via CDR by mandate dates.</w:t>
      </w:r>
    </w:p>
    <w:p>
      <w:pPr>
        <w:spacing w:after="60" w:before="60"/>
      </w:pPr>
    </w:p>
    <w:p>
      <w:pPr>
        <w:spacing w:after="160" w:before="100"/>
      </w:pPr>
      <w:r>
        <w:rPr>
          <w:rFonts w:ascii="Arial" w:cs="Arial" w:eastAsia="Arial" w:hAnsi="Arial"/>
          <w:b/>
          <w:bCs/>
          <w:color w:val="E8612A"/>
          <w:sz w:val="22"/>
          <w:szCs w:val="22"/>
        </w:rPr>
        <w:t xml:space="preserve">FCA Consumer Duty Legacy Failures: </w:t>
      </w:r>
      <w:r>
        <w:rPr>
          <w:rFonts w:ascii="Arial" w:cs="Arial" w:eastAsia="Arial" w:hAnsi="Arial"/>
          <w:b w:val="false"/>
          <w:bCs w:val="false"/>
          <w:color w:val="1A2332"/>
          <w:sz w:val="22"/>
          <w:szCs w:val="22"/>
        </w:rPr>
        <w:t xml:space="preserve">Most common: (1) renewal pricing UX (no new customer comparison shown -- PS21/11 breach), (2) cancellation requiring phone call (Consumer Duty requires digital), (3) paper FNOL (Consumer Duty consumer support outcome), (4) IPID not mobile-readable (Consumer Duty consumer understanding). ClickMasters Consumer Duty InsurTech audit: 2-day assessment identifying all failures.</w:t>
      </w:r>
    </w:p>
    <w:p>
      <w:pPr>
        <w:spacing w:after="60" w:before="60"/>
      </w:pPr>
    </w:p>
    <w:p>
      <w:pPr>
        <w:spacing w:after="160" w:before="100"/>
      </w:pPr>
      <w:r>
        <w:rPr>
          <w:rFonts w:ascii="Arial" w:cs="Arial" w:eastAsia="Arial" w:hAnsi="Arial"/>
          <w:b/>
          <w:bCs/>
          <w:color w:val="E8612A"/>
          <w:sz w:val="22"/>
          <w:szCs w:val="22"/>
        </w:rPr>
        <w:t xml:space="preserve">Guidewire Strangler Fig Migration: </w:t>
      </w:r>
      <w:r>
        <w:rPr>
          <w:rFonts w:ascii="Arial" w:cs="Arial" w:eastAsia="Arial" w:hAnsi="Arial"/>
          <w:b w:val="false"/>
          <w:bCs w:val="false"/>
          <w:color w:val="1A2332"/>
          <w:sz w:val="22"/>
          <w:szCs w:val="22"/>
        </w:rPr>
        <w:t xml:space="preserve">(1) Identify highest Consumer Duty risk module (renewal journey), (2) build new Next.js frontend calling new Node.js API rather than Guidewire directly, (3) new API calls Guidewire Policy Center REST API, (4) traffic migrated from legacy Guidewire frontend, (5) legacy decommissioned. Benefit: new consumer-facing journey live without waiting for Guidewire Cloud migration (18-36 months).</w:t>
      </w:r>
    </w:p>
    <w:p>
      <w:pPr>
        <w:spacing w:after="60" w:before="60"/>
      </w:pPr>
    </w:p>
    <w:p>
      <w:pPr>
        <w:spacing w:after="160" w:before="100"/>
      </w:pPr>
      <w:r>
        <w:rPr>
          <w:rFonts w:ascii="Arial" w:cs="Arial" w:eastAsia="Arial" w:hAnsi="Arial"/>
          <w:b/>
          <w:bCs/>
          <w:color w:val="E8612A"/>
          <w:sz w:val="22"/>
          <w:szCs w:val="22"/>
        </w:rPr>
        <w:t xml:space="preserve">MID Continuity During Migration: </w:t>
      </w:r>
      <w:r>
        <w:rPr>
          <w:rFonts w:ascii="Arial" w:cs="Arial" w:eastAsia="Arial" w:hAnsi="Arial"/>
          <w:b w:val="false"/>
          <w:bCs w:val="false"/>
          <w:color w:val="1A2332"/>
          <w:sz w:val="22"/>
          <w:szCs w:val="22"/>
        </w:rPr>
        <w:t xml:space="preserve">MID compliance must be maintained throughout. (1) Map legacy MID integration, (2) new system replicates MID notification from day one, (3) parallel MID notifications during transition (30-day period, MID deduplication handles duplicates), (4) legacy MID decommissioned after parallel period. Zero gap in MID compliance: failure = uninsured vehicle enforcement risk for customers.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FCA ICOBS, FCA Consumer Duty, AML MLRs 2017, UK GDPR, Cyber Essentials Plus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GBP30,000--GBP150,000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InsurTech legacy modernisation timeline?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timelines: (1) Single Consumer Duty journey fix: 8-16 weeks. (2) Full Guidewire frontend replacement: 24-40 weeks. (3) Full core system replacement: 48-80 weeks. (4) Lloyds MGA CDR integration: 8-16 weeks. Start with highest Consumer Duty risk journey (renewal or cancellation -- both FCA priority). First journey live in 8-16 weeks gives immediate risk reduction.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Consumer Duty require system replacement?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Consumer Duty does not explicitly require replacement. But: (1) renewal parity check requirement cannot be met by many legacy systems, (2) digital cancellation requirement cannot be met by phone-only legacy workflows, (3) mobile IPID requirement cannot be met by legacy PDF generation. In practice: Strangler Fig allows targeted remediation without full replacement.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UK: /insurtech-software-development/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UK Legacy Guide: /uk-legacy-modernisation-guide/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Legacy Modernisation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"insurtech legacy modernisation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2026-06-07T11:17:41.582Z</dcterms:created>
  <dcterms:modified xsi:type="dcterms:W3CDTF">2026-06-07T11:17:41.582Z</dcterms:modified>
</cp:coreProperties>
</file>

<file path=docProps/custom.xml><?xml version="1.0" encoding="utf-8"?>
<Properties xmlns="http://schemas.openxmlformats.org/officeDocument/2006/custom-properties" xmlns:vt="http://schemas.openxmlformats.org/officeDocument/2006/docPropsVTypes"/>
</file>