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PropTech UK Residential AVM SaaS -- RICS and FCA MCOB -- ClickMasters Case Study
META DESC: UK property technology company providing automated property valuations (AVMs) to mortgage lenders, estate agen...
SLUG: /case-studies/proptech-residential-avm-saas-rics-fca/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PropTech UK Residential AVM SaaS -- RICS and FCA MCOB</w:t>
      </w:r>
    </w:p>
    <w:p>
      <w:pPr>
        <w:spacing w:after="60" w:before="60"/>
      </w:pPr>
    </w:p>
    <w:p>
      <w:pPr>
        <w:pStyle w:val="Heading1"/>
        <w:spacing w:after="160" w:before="360"/>
      </w:pPr>
      <w:r>
        <w:rPr>
          <w:rFonts w:ascii="Arial" w:cs="Arial" w:eastAsia="Arial" w:hAnsi="Arial"/>
          <w:b/>
          <w:bCs/>
          <w:color w:val="0B1F3A"/>
          <w:sz w:val="40"/>
          <w:szCs w:val="40"/>
        </w:rPr>
        <w:t xml:space="preserve">PropTech UK Residential AVM SaaS -- RICS and FCA MCOB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 / AVM Valuation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PropTech / AVM Valuation | Tech: React, Node.js/Fastify, PostgreSQL, Python (XGBoost, SHAP), HMLR Price Paid API, EPC Register API, OS AddressBase Premium, AWS SageMaker, AWS eu-west-2 | Compliance: RICS AVM Guidance Note 2023, FCA MCOB, UK GDPR, Cyber Essentials Plus,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UK property technology company providing automated property valuations (AVMs) to mortgage lenders, estate agents, and property investors. RICS AVM Guidance Note (January 2023), FCA MCOB (responsible lending, valuation standards), UK GDPR, Cyber Essentials Plus, WCAG 2.1 AA. Budget GBP120,000.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AVM Model Architecture: </w:t>
      </w:r>
      <w:r>
        <w:rPr>
          <w:rFonts w:ascii="Arial" w:cs="Arial" w:eastAsia="Arial" w:hAnsi="Arial"/>
          <w:b w:val="false"/>
          <w:bCs w:val="false"/>
          <w:color w:val="1A2332"/>
          <w:sz w:val="22"/>
          <w:szCs w:val="22"/>
        </w:rPr>
        <w:t xml:space="preserve">Data sources: HMLR Price Paid Data (30M+ UK residential transactions), Land Registry Title data, EPC Register (MEES -- significant value driver), OS AddressBase Premium (UPRN geospatial), ONS Census data (ACORN neighbourhood), Zoopla listing data (current market). Model: XGBoost gradient boosting -- outperforms hedonic regression at scale. Every AVM output includes 80% and 95% confidence intervals -- mandatory per RICS guidance.</w:t>
      </w:r>
    </w:p>
    <w:p>
      <w:pPr>
        <w:spacing w:after="160" w:before="100"/>
      </w:pPr>
      <w:r>
        <w:rPr>
          <w:rFonts w:ascii="Arial" w:cs="Arial" w:eastAsia="Arial" w:hAnsi="Arial"/>
          <w:b/>
          <w:bCs/>
          <w:color w:val="E8612A"/>
          <w:sz w:val="22"/>
          <w:szCs w:val="22"/>
        </w:rPr>
        <w:t xml:space="preserve">RICS AVM Guidance Note Compliance: </w:t>
      </w:r>
      <w:r>
        <w:rPr>
          <w:rFonts w:ascii="Arial" w:cs="Arial" w:eastAsia="Arial" w:hAnsi="Arial"/>
          <w:b w:val="false"/>
          <w:bCs w:val="false"/>
          <w:color w:val="1A2332"/>
          <w:sz w:val="22"/>
          <w:szCs w:val="22"/>
        </w:rPr>
        <w:t xml:space="preserve">RICS AVM guidance (January 2023): (1) transparency (methodology documented and explainable -- SHAP values showing which features drove each valuation), (2) confidence scoring (displayed prominently), (3) comparables disclosure (5 most similar transactions available on request), (4) limitations disclosure (AVM is estimate, not RICS Red Book valuation -- clearly stated), (5) data freshness (regular retraining -- stale training data = unreliable AVM).</w:t>
      </w:r>
    </w:p>
    <w:p>
      <w:pPr>
        <w:spacing w:after="160" w:before="100"/>
      </w:pPr>
      <w:r>
        <w:rPr>
          <w:rFonts w:ascii="Arial" w:cs="Arial" w:eastAsia="Arial" w:hAnsi="Arial"/>
          <w:b/>
          <w:bCs/>
          <w:color w:val="E8612A"/>
          <w:sz w:val="22"/>
          <w:szCs w:val="22"/>
        </w:rPr>
        <w:t xml:space="preserve">FCA MCOB Integration: </w:t>
      </w:r>
      <w:r>
        <w:rPr>
          <w:rFonts w:ascii="Arial" w:cs="Arial" w:eastAsia="Arial" w:hAnsi="Arial"/>
          <w:b w:val="false"/>
          <w:bCs w:val="false"/>
          <w:color w:val="1A2332"/>
          <w:sz w:val="22"/>
          <w:szCs w:val="22"/>
        </w:rPr>
        <w:t xml:space="preserve">FCA MCOB for mortgage lenders: (1) AVM for remortgage (LTV below 75% -- AVM acceptable), (2) AVM for additional borrowing (existing lender), (3) desktop valuation (mid-range LTV), (4) full RICS Red Book (high LTV, large loans -- AVM insufficient alone). AVM API response: value + confidence score + confidence interval + 5 comparables + RICS compliance confirmation. Quarterly model performance report for lender MCOB compliance file.</w:t>
      </w:r>
    </w:p>
    <w:p>
      <w:pPr>
        <w:spacing w:after="160" w:before="100"/>
      </w:pPr>
      <w:r>
        <w:rPr>
          <w:rFonts w:ascii="Arial" w:cs="Arial" w:eastAsia="Arial" w:hAnsi="Arial"/>
          <w:b/>
          <w:bCs/>
          <w:color w:val="E8612A"/>
          <w:sz w:val="22"/>
          <w:szCs w:val="22"/>
        </w:rPr>
        <w:t xml:space="preserve">AVM Model Monitoring: </w:t>
      </w:r>
      <w:r>
        <w:rPr>
          <w:rFonts w:ascii="Arial" w:cs="Arial" w:eastAsia="Arial" w:hAnsi="Arial"/>
          <w:b w:val="false"/>
          <w:bCs w:val="false"/>
          <w:color w:val="1A2332"/>
          <w:sz w:val="22"/>
          <w:szCs w:val="22"/>
        </w:rPr>
        <w:t xml:space="preserve">Weekly comparison: AVM predictions vs actual HMLR sold prices. MAPE tracking (target: below 5%). Geographic MAPE by region. Automated retraining on SageMaker when MAPE exceeds threshold. Champion-challenger: new model vs production -- if challenger wins 4 consecutive weeks, promote. COVID drift risk: models trained 2019-2022 may underperform in 2025-2026 market -- continuous monitoring essential.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22 weeks, GBP112,000. 28 mortgage lender integrations. 420,000 AVM queries/month. MAPE 3.8% vs RICS target 5%. Confidence distribution: 42% high, 38% medium, 20% low. RICS compliance confirmed. FCA MCOB quarterly reports automated. WCAG zero.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SHAP explainability -- which features drove each AVM estimate, visible to mortgage underwriters on request -- was the FCA MCOB feature that won our first 3 lender integrations. A black-box AVM they cannot explain to FCA is a regulatory liability. -- CEO, UK PropTech AVM Company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Python (XGBoost, SHAP), HMLR Price Paid API, EPC Register API, OS AddressBase Premium, AWS SageMaker,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RICS AVM Guidance Note 2023, FCA MCOB, UK GDPR, Cyber Essentials Plus, WCAG 2.1 AA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property valuation saas uk avm rics, automated valuation model uk mortgage, proptech avm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2026-06-07T18:21:42.558Z</dcterms:created>
  <dcterms:modified xsi:type="dcterms:W3CDTF">2026-06-07T18:21:42.558Z</dcterms:modified>
</cp:coreProperties>
</file>

<file path=docProps/custom.xml><?xml version="1.0" encoding="utf-8"?>
<Properties xmlns="http://schemas.openxmlformats.org/officeDocument/2006/custom-properties" xmlns:vt="http://schemas.openxmlformats.org/officeDocument/2006/docPropsVTypes"/>
</file>