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Embedded Insurance Platform -- White-Label B2B -- ClickMasters Case Study
META DESC: UK FCA-authorised insurance intermediary (ICOBS, Lloyds coverholder) building embedded insurance distribution ...
SLUG: /case-studies/fintech-embedded-insurance-white-label-b2b/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Embedded Insurance Platform -- White-Label B2B</w:t>
      </w:r>
    </w:p>
    <w:p>
      <w:pPr>
        <w:spacing w:after="60" w:before="60"/>
      </w:pPr>
    </w:p>
    <w:p>
      <w:pPr>
        <w:pStyle w:val="Heading1"/>
        <w:spacing w:after="160" w:before="360"/>
      </w:pPr>
      <w:r>
        <w:rPr>
          <w:rFonts w:ascii="Arial" w:cs="Arial" w:eastAsia="Arial" w:hAnsi="Arial"/>
          <w:b/>
          <w:bCs/>
          <w:color w:val="0B1F3A"/>
          <w:sz w:val="40"/>
          <w:szCs w:val="40"/>
        </w:rPr>
        <w:t xml:space="preserve">FinTech UK Embedded Insurance Platform -- White-Label B2B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Embedded Insurance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Embedded Insurance | Tech: React, Node.js/Fastify, PostgreSQL, GOV.UK Notify, Lloyds coverholder API, AWS eu-west-2 | Compliance: FCA ICOBS, FCA Consumer Duty (PS22/9), FCA PS21/11, UK IDD retained, SMCR, PECR, UK GDPR,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UK FCA-authorised insurance intermediary (ICOBS, Lloyds coverholder) building embedded insurance distribution platform for banks, credit card issuers, and mortgage lenders. FCA ICOBS, Consumer Duty, PS21/11, PECR, UK IDD retained, SMCR, UK GDPR, WCAG 2.1 AA.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Embedded Insurance Architecture: </w:t>
      </w:r>
      <w:r>
        <w:rPr>
          <w:rFonts w:ascii="Arial" w:cs="Arial" w:eastAsia="Arial" w:hAnsi="Arial"/>
          <w:b w:val="false"/>
          <w:bCs w:val="false"/>
          <w:color w:val="1A2332"/>
          <w:sz w:val="22"/>
          <w:szCs w:val="22"/>
        </w:rPr>
        <w:t xml:space="preserve">B2B white-label: (1) partner onboarding (bank/lender API integration), (2) insurance eligibility rules engine, (3) quote generation (Lloyds coverholder binding authority API), (4) white-label offer UI (embedded in partner journey, partner branding), (5) bind and policy issuance (GOV.UK Notify confirmation). SMCR: Named Senior Manager responsible for each distribution arrangement.</w:t>
      </w:r>
    </w:p>
    <w:p>
      <w:pPr>
        <w:spacing w:after="160" w:before="100"/>
      </w:pPr>
      <w:r>
        <w:rPr>
          <w:rFonts w:ascii="Arial" w:cs="Arial" w:eastAsia="Arial" w:hAnsi="Arial"/>
          <w:b/>
          <w:bCs/>
          <w:color w:val="E8612A"/>
          <w:sz w:val="22"/>
          <w:szCs w:val="22"/>
        </w:rPr>
        <w:t xml:space="preserve">FCA ICOBS and IDD Compliance: </w:t>
      </w:r>
      <w:r>
        <w:rPr>
          <w:rFonts w:ascii="Arial" w:cs="Arial" w:eastAsia="Arial" w:hAnsi="Arial"/>
          <w:b w:val="false"/>
          <w:bCs w:val="false"/>
          <w:color w:val="1A2332"/>
          <w:sz w:val="22"/>
          <w:szCs w:val="22"/>
        </w:rPr>
        <w:t xml:space="preserve">(1) ICOBS 6.1 -- IPID before purchase, (2) IDD demands-and-needs (customer confirms insurance meets needs before purchase), (3) 14-day cooling off right to cancel, (4) ICOBS 2.6 -- fair, clear, not misleading (offer must not exploit customer context), (5) Consumer Duty suitability (home insurance at mortgage -- appropriate; payment protection at cash machine -- not appropriate). Demands-and-needs questionnaire in every embedded journey.</w:t>
      </w:r>
    </w:p>
    <w:p>
      <w:pPr>
        <w:spacing w:after="160" w:before="100"/>
      </w:pPr>
      <w:r>
        <w:rPr>
          <w:rFonts w:ascii="Arial" w:cs="Arial" w:eastAsia="Arial" w:hAnsi="Arial"/>
          <w:b/>
          <w:bCs/>
          <w:color w:val="E8612A"/>
          <w:sz w:val="22"/>
          <w:szCs w:val="22"/>
        </w:rPr>
        <w:t xml:space="preserve">PECR Consent Analysis: </w:t>
      </w:r>
      <w:r>
        <w:rPr>
          <w:rFonts w:ascii="Arial" w:cs="Arial" w:eastAsia="Arial" w:hAnsi="Arial"/>
          <w:b w:val="false"/>
          <w:bCs w:val="false"/>
          <w:color w:val="1A2332"/>
          <w:sz w:val="22"/>
          <w:szCs w:val="22"/>
        </w:rPr>
        <w:t xml:space="preserve">Insurance cross-sell at point of financial product: (1) if incidental to financial product (buildings insurance required for mortgage) -- PECR consent not required (legitimate interest), (2) if separate cross-sell (card protection added to credit card checkout) -- PECR explicit opt-in required. Consent management: clear opt-in, timestamp and IP recorded, withdrawal mechanism, audit trail for ICO defence.</w:t>
      </w:r>
    </w:p>
    <w:p>
      <w:pPr>
        <w:spacing w:after="160" w:before="100"/>
      </w:pPr>
      <w:r>
        <w:rPr>
          <w:rFonts w:ascii="Arial" w:cs="Arial" w:eastAsia="Arial" w:hAnsi="Arial"/>
          <w:b/>
          <w:bCs/>
          <w:color w:val="E8612A"/>
          <w:sz w:val="22"/>
          <w:szCs w:val="22"/>
        </w:rPr>
        <w:t xml:space="preserve">White-Label Partner Portal: </w:t>
      </w:r>
      <w:r>
        <w:rPr>
          <w:rFonts w:ascii="Arial" w:cs="Arial" w:eastAsia="Arial" w:hAnsi="Arial"/>
          <w:b w:val="false"/>
          <w:bCs w:val="false"/>
          <w:color w:val="1A2332"/>
          <w:sz w:val="22"/>
          <w:szCs w:val="22"/>
        </w:rPr>
        <w:t xml:space="preserve">8 distribution partners each with own configuration: branding, product selection, performance dashboard (conversion, claims, partner revenue), pseudonymised customer data, FCA ICOBS quarterly compliance reports. Revenue sharing: per-policy commission. SMCR accountability: portal access restricted to certified individuals only.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FCA ICOBS and Consumer Duty confirmed. Platform live at 24 weeks, GBP128,000. 8 distribution partners live within 6 months. 84,000 policies bound year one. Demands-and-needs 100%. PECR compliant. Consumer Duty confirmed. Conversion 18.4% vs 12% industry. NPS 72.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The demands-and-needs questionnaire -- IDD requirement that consumers confirm insurance meets their needs -- was the feature banks initially resisted as friction. It is the Consumer Duty feature that proves suitability. Regulators look at suitability evidence first when complaints arise. Banks now cite it as their consumer protection evidence. -- CEO, UK Embedded Insurance Intermediary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GOV.UK Notify, Lloyds coverholder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(PS22/9), FCA PS21/11, UK IDD retained, SMCR, PECR, UK GDPR,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embedded insurance platform uk fca white label, insurance distribution b2b uk, fintech embedded insurance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2026-06-07T18:21:42.599Z</dcterms:created>
  <dcterms:modified xsi:type="dcterms:W3CDTF">2026-06-07T18:21:42.599Z</dcterms:modified>
</cp:coreProperties>
</file>

<file path=docProps/custom.xml><?xml version="1.0" encoding="utf-8"?>
<Properties xmlns="http://schemas.openxmlformats.org/officeDocument/2006/custom-properties" xmlns:vt="http://schemas.openxmlformats.org/officeDocument/2006/docPropsVTypes"/>
</file>