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UK AI Governance Guide (2026) | ClickMasters
META DESC: AI governance for UK software. ICO AI guidance, NHS AI Lab standards, FCA Consumer Duty AI, MHRA SaMD, bias testing.
SLUG: /uk-ai-governance-guide/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13 min  |  Written by: James Whitmore, CTO  |  Reviewed by: ClickMasters AI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UK AI Governance Guide</w:t>
      </w:r>
    </w:p>
    <w:p>
      <w:pPr>
        <w:spacing w:after="60" w:before="60"/>
      </w:pPr>
    </w:p>
    <w:p>
      <w:pPr>
        <w:pStyle w:val="Heading1"/>
        <w:spacing w:after="160" w:before="360"/>
      </w:pPr>
      <w:r>
        <w:rPr>
          <w:rFonts w:ascii="Arial" w:cs="Arial" w:eastAsia="Arial" w:hAnsi="Arial"/>
          <w:b/>
          <w:bCs/>
          <w:color w:val="0B1F3A"/>
          <w:sz w:val="40"/>
          <w:szCs w:val="40"/>
        </w:rPr>
        <w:t xml:space="preserve">UK AI Governance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AI Governance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ICO</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NHS AI Lab</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FCA Consumer Duty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Free Review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UK AI governance is shaped by five frameworks: ICO AI Guidance (fairness, transparency, accountability), NHS AI Lab 14 Standards (healthcare AI trustworthiness), FCA Consumer Duty (AI decisions affecting consumer outcomes), MHRA SaMD (if AI aids clinical diagnosis), and the UK AI Act (sector-specific oversight). ClickMasters has deployed compliant AI in 28 UK regulated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AI Governance Frameworks -- Overview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8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Framework</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Covers</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Who It Applies To</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Requirements</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AI Guidance (2023)</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Fairness, transparency, accuracy, accountability for AI using personal data</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UK organisations using AI with personal data</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Document AI decisions, test for bias, allow human review</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AI Lab 14 Standards</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Trustworthy healthcare AI -- data, transparency, safety, oversight</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AI used in NHS health and care settings</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14 standards: data quality, explainability, bias, ongoing monitoring</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Consumer Duty (PS22/9)</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decisions affecting financial consumer outcomes</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FCA-regulated firms using AI for consumer-facing decisions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must produce good outcomes, no unfair bias</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MHRA SaMD (MDR 2002 UK)</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as Software as a Medical Device</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that aids clinical decision-making</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UKCA marking, clinical validation, post-market surveillance</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AI Act (sector-specific)</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High-risk AI in employment, credit, education, law enforcement</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Relevant sector AI systems</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Transparency, accountability, human oversight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ICO AI Guidance -- Practical Implementation</w:t>
            </w:r>
          </w:p>
        </w:tc>
      </w:tr>
    </w:tbl>
    <w:p>
      <w:pPr>
        <w:spacing w:after="60" w:before="60"/>
      </w:pPr>
    </w:p>
    <w:p>
      <w:pPr>
        <w:spacing w:after="160" w:before="100"/>
      </w:pPr>
      <w:r>
        <w:rPr>
          <w:rFonts w:ascii="Arial" w:cs="Arial" w:eastAsia="Arial" w:hAnsi="Arial"/>
          <w:b w:val="false"/>
          <w:bCs w:val="false"/>
          <w:color w:val="1A2332"/>
          <w:sz w:val="22"/>
          <w:szCs w:val="22"/>
        </w:rPr>
        <w:t xml:space="preserve">ICO AI Guidance on fairness: AI systems using personal data must be tested for unfair outcomes across protected characteristics (Equality Act 2010).</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Demographic parity testing: AI output rates (loan approval, insurance quote) must not significantly differ by protected characteristic unless justified by legitimate criteria.</w:t>
      </w:r>
    </w:p>
    <w:p>
      <w:pPr>
        <w:pStyle w:val="ListParagraph"/>
        <w:numPr>
          <w:ilvl w:val="0"/>
          <w:numId w:val="2"/>
        </w:numPr>
        <w:spacing w:after="60" w:before="60"/>
      </w:pPr>
      <w:r>
        <w:rPr>
          <w:rFonts w:ascii="Arial" w:cs="Arial" w:eastAsia="Arial" w:hAnsi="Arial"/>
          <w:color w:val="1A2332"/>
          <w:sz w:val="22"/>
          <w:szCs w:val="22"/>
        </w:rPr>
        <w:t xml:space="preserve">Counterfactual fairness: would the AI decision change if only a protected characteristic differed? If yes -- is that characteristic a legitimate factor?</w:t>
      </w:r>
    </w:p>
    <w:p>
      <w:pPr>
        <w:pStyle w:val="ListParagraph"/>
        <w:numPr>
          <w:ilvl w:val="0"/>
          <w:numId w:val="2"/>
        </w:numPr>
        <w:spacing w:after="60" w:before="60"/>
      </w:pPr>
      <w:r>
        <w:rPr>
          <w:rFonts w:ascii="Arial" w:cs="Arial" w:eastAsia="Arial" w:hAnsi="Arial"/>
          <w:color w:val="1A2332"/>
          <w:sz w:val="22"/>
          <w:szCs w:val="22"/>
        </w:rPr>
        <w:t xml:space="preserve">Documentation: every AI system must have documented bias testing methodology, test results, and any identified disparate impact with justification or mitigation.</w:t>
      </w:r>
    </w:p>
    <w:p>
      <w:pPr>
        <w:pStyle w:val="ListParagraph"/>
        <w:numPr>
          <w:ilvl w:val="0"/>
          <w:numId w:val="2"/>
        </w:numPr>
        <w:spacing w:after="60" w:before="60"/>
      </w:pPr>
      <w:r>
        <w:rPr>
          <w:rFonts w:ascii="Arial" w:cs="Arial" w:eastAsia="Arial" w:hAnsi="Arial"/>
          <w:color w:val="1A2332"/>
          <w:sz w:val="22"/>
          <w:szCs w:val="22"/>
        </w:rPr>
        <w:t xml:space="preserve">Human review: ICO expects significant AI decisions (credit, insurance, employment) to have human review available -- automated refusal without human review option is ICO enforcement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FCA Consumer Duty AI: FCA began reviewing AI use in consumer-facing financial services in 2025-2026. AI decisions producing worse outcomes for vulnerable customers or specific demographic groups are Consumer Duty failures. ClickMasters AI bias testing: included in all FCA-regulated AI projects.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NHS AI Lab standard for radiology AI?</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Standard 8 (Explainability): healthcare AI must be explainable -- not just accurate. For radiology AI: (1) confidence score (not binary result -- confidence level shown), (2) highlighted region (Grad-CAM -- which image region drove classification), (3) comparable cases (similar historical cases), (4) limitations disclosure (which pathologies AI cannot reliably detect). MHRA Class IIa SaMD: explainability is part of clinical validation evidence. ClickMasters radiology AI: SHAP values + Grad-CAM highlighted region + confidence intervals -- all presented to radiologist in reporting workflow.</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FCA Consumer Duty require AI bias testing?</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Consumer Duty Products and Services outcome: products must deliver good outcomes for target market. If AI used in product design (pricing, credit scoring): (1) FCA expects firms to demonstrate AI does not produce worse outcomes for specific customer groups, (2) unexplainable AI decisions affecting consumer outcomes are a Consumer Duty concern, (3) periodic bias testing (quarterly or annually depending on AI risk level) expected. ClickMasters FCA AI: demographic parity testing + adverse action analysis + human review pathway -- documented for FCA evidence.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UK Software Testing Guide: /uk-software-testing-guide/</w:t>
      </w:r>
    </w:p>
    <w:p>
      <w:pPr>
        <w:pStyle w:val="ListParagraph"/>
        <w:numPr>
          <w:ilvl w:val="0"/>
          <w:numId w:val="3"/>
        </w:numPr>
        <w:spacing w:after="60" w:before="60"/>
      </w:pPr>
      <w:r>
        <w:rPr>
          <w:rFonts w:ascii="Arial" w:cs="Arial" w:eastAsia="Arial" w:hAnsi="Arial"/>
          <w:color w:val="1A4A8A"/>
          <w:sz w:val="22"/>
          <w:szCs w:val="22"/>
        </w:rPr>
        <w:t xml:space="preserve">UK FinTech Compliance Guide: /uk-fintech-compliance-guide/</w:t>
      </w:r>
    </w:p>
    <w:p>
      <w:pPr>
        <w:pStyle w:val="ListParagraph"/>
        <w:numPr>
          <w:ilvl w:val="0"/>
          <w:numId w:val="3"/>
        </w:numPr>
        <w:spacing w:after="60" w:before="60"/>
      </w:pPr>
      <w:r>
        <w:rPr>
          <w:rFonts w:ascii="Arial" w:cs="Arial" w:eastAsia="Arial" w:hAnsi="Arial"/>
          <w:color w:val="1A4A8A"/>
          <w:sz w:val="22"/>
          <w:szCs w:val="22"/>
        </w:rPr>
        <w:t xml:space="preserve">UK NHS Digital Development Guide: /uk-nhs-digital-development-guide/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AI Governance Review</w:t>
            </w:r>
          </w:p>
          <w:p>
            <w:pPr>
              <w:spacing w:after="160" w:before="0"/>
            </w:pPr>
            <w:r>
              <w:rPr>
                <w:rFonts w:ascii="Arial" w:cs="Arial" w:eastAsia="Arial" w:hAnsi="Arial"/>
                <w:color w:val="BDD0E8"/>
                <w:sz w:val="22"/>
                <w:szCs w:val="22"/>
              </w:rPr>
              <w:t xml:space="preserve">ClickMasters will assess your AI system against ICO guidance, NHS AI Lab standards, and FCA Consumer Duty.</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AI governance specialist -- 28 AI projects in regulated sectors</w:t>
            </w:r>
          </w:p>
          <w:p>
            <w:pPr>
              <w:spacing w:after="0" w:before="0"/>
            </w:pPr>
            <w:r>
              <w:rPr>
                <w:rFonts w:ascii="Arial" w:cs="Arial" w:eastAsia="Arial" w:hAnsi="Arial"/>
                <w:color w:val="1A2332"/>
                <w:sz w:val="20"/>
                <w:szCs w:val="20"/>
              </w:rPr>
              <w:t xml:space="preserve">ClickMasters has deployed AI in NHS radiology, FCA lending, LegalTech, and HR. Governance is not a compliance exercise -- it is what makes AI trustworthy.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uk ai governance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2026-06-07T18:21:42.818Z</dcterms:created>
  <dcterms:modified xsi:type="dcterms:W3CDTF">2026-06-07T18:21:42.818Z</dcterms:modified>
</cp:coreProperties>
</file>

<file path=docProps/custom.xml><?xml version="1.0" encoding="utf-8"?>
<Properties xmlns="http://schemas.openxmlformats.org/officeDocument/2006/custom-properties" xmlns:vt="http://schemas.openxmlformats.org/officeDocument/2006/docPropsVTypes"/>
</file>