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META TITLE: RetailTech UK Smart Loyalty and Personalisation Platform -- ClickMasters Case Study
META DESC: A UK retail chain with 840 stores, 8.4M loyalty members, and GBP2.8B annual retail revenue needed to modernise...
SLUG: /case-studies/retailtech-smart-loyalty-personalisation-uk/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Last updated: June 2026  |  Reading time: 6 min  |  Written by: ClickMasters Case Study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Case Studies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RetailTech UK Smart Loyalty and Personalisation Platform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RetailTech UK Smart Loyalty and Personalisation Platform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RetailTech / Loyalty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UK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On Time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Fixed Price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20"/>
                <w:szCs w:val="20"/>
              </w:rPr>
              <w:t xml:space="preserve">Sector: RetailTech / Loyalty | Tech: React, React Native (Expo), Node.js/Fastify, PostgreSQL, Redis (real-time recommendations), sentence-transformers (product embeddings), Statsig (A/B testing), OneTrust (consent), AWS eu-west-2 | Compliance: UK GDPR, PECR, ICO DPIA, Equality Act 2010 (AI bias), PCI-DSS SAQ-A, WCAG 2.1 AA, Cyber Essentials Plus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The Challenge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A UK retail chain with 840 stores, 8.4M loyalty members, and GBP2.8B annual retail revenue needed to modernise their loyalty programme -- replacing a legacy Comarch loyalty platform with a cloud-native personalisation engine. UK GDPR, PECR (consent for personalisation tracking), ICO DPIA for loyalty programme profiling, FCA (if stored value card), PCI-DSS SAQ-A, WCAG 2.1 AA, and Equality Act 2010 (bias monitoring on personalisation offers) were mandatory. Budget GBP150,000.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Our Approach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PECR-Compliant Personalisation Architecture: </w:t>
      </w: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PECR consent for loyalty personalisation: (1) opt-in consent required for personalised offers based on purchase history (PECR -- electronic marketing requires prior consent), (2) consent management platform (OneTrust -- consent recorded with timestamp, IP, consent version), (3) consent granularity (separate consent for: personalised offers, third-party offers, analytics), (4) consent withdrawal (customer withdraws consent -- personalisation stops, non-personalised offers shown instead). ICO DPIA (Data Protection Impact Assessment): loyalty programme profiling constitutes systematic monitoring of behaviour -- DPIA mandatory (GDPR Article 35). ClickMasters DPIA for loyalty: pre-built template covering data flows, risks, and mitigations for loyalty personalisation.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Recommendation Engine Architecture: </w:t>
      </w: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Recommendation engine: (1) event tracking (purchase, browse, basket, redemption -- PECR consent gates tracking cookies), (2) product embeddings (sentence-transformers -- product catalogue vectorised), (3) collaborative filtering (customers who bought X also bought Y -- aggregate behaviour, no individual profiling without consent), (4) real-time personalisation API (&lt; 50ms -- product recommendations for app, email, and in-store kiosk), (5) A/B testing (Statsig -- recommendation algorithm variants tested, uplift measured). ICO AI fairness: loyalty personalisation AI tested quarterly for demographic bias (Equality Act 2010 -- personalised offers must not systematically disadvantage any protected group). ClickMasters AI bias testing: demographic parity analysis on offer distribution across age, gender, and postcode decile.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Loyalty Points and Stored Value: </w:t>
      </w: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Loyalty points: virtual currency (1 point = 0.5p redemption value). FCA consideration: if loyalty points are freely redeemable for cash equivalent, FCA may classify as stored value (e-money) -- FCA Electronic Money Regulations 2011. Legal analysis: loyalty points restricted to purchasing goods from the same retailer are NOT e-money (exemption in EMD2 -- limited network exemption). Legal opinion obtained: ClickMasters refers all clients with loyalty programmes to specialist legal counsel for FCA stored value analysis. Points processing: AWS Aurora PostgreSQL -- atomic point ledger transactions (no point duplication, no point loss). Every point transaction audited (ISO 27001 data integrity requirement).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WCAG and Store Kiosk Accessibility: </w:t>
      </w: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Loyalty programme accessibility: app (iOS + Android -- React Native), web portal (React), and in-store kiosk (React + touch UI). WCAG 2.1 AA: (1) app -- iOS VoiceOver and Android TalkBack tested, (2) web -- axe-playwright automated + NVDA manual, (3) kiosk -- touch target minimum 44x44px, high contrast mode, audio option for visually impaired. Equality Act 2010: retail kiosk is a service to the public -- inaccessible kiosk is a potential service barrier for disabled customers. ClickMasters kiosk accessibility: first UK retail loyalty kiosk to achieve WCAG 2.1 AA -- all 840 stores. Audio mode: TTS (text-to-speech) for all kiosk interactions -- activated by long press on home screen.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The Result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Platform live at 26 weeks, GBP142,000. 8.4M loyalty members. Personalisation consent rate: 72.4% (above PECR baseline). DPIA completed and filed. Recommendation engine: 18.4% uplift in basket value for personalised vs non-personalised members. AI bias test: demographic parity confirmed (zero significant disparities). FCA legal opinion: limited network exemption confirmed. WCAG 2.1 AA: 840 kiosks all compliant. PCI-DSS SAQ-A: confirmed.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4EDDA" w:sz="1"/>
              <w:left w:val="single" w:color="D4EDDA" w:sz="1"/>
              <w:bottom w:val="single" w:color="D4EDDA" w:sz="1"/>
              <w:right w:val="single" w:color="D4EDDA" w:sz="1"/>
            </w:tcBorders>
            <w:shd w:fill="D4EDD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22"/>
                <w:szCs w:val="22"/>
              </w:rPr>
              <w:t xml:space="preserve">18.4% basket uplift for personalised members. 72.4% consent rate. DPIA filed. AI bias test: demographic parity confirmed. FCA legal opinion: limited network exemption. WCAG 840 kiosks. The PECR consent architecture -- personalisation that degrades gracefully to non-personalised offers without consent -- was the design decision that protected us from PECR enforcement. 28% of members chose not to consent. Those members still get offers. Just not personalised ones. PECR-first design is better design. -- Chief Digital Officer, UK Retail Chain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Technologies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React, React Native (Expo), Node.js/Fastify, PostgreSQL, Redis (real-time recommendations), sentence-transformers (product embeddings), Statsig (A/B testing), OneTrust (consent), AWS eu-west-2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Compliance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UK GDPR, PECR, ICO DPIA, Equality Act 2010 (AI bias), PCI-DSS SAQ-A, WCAG 2.1 AA, Cyber Essentials Plus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Contract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Fixed-price Agile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IP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100% transferred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Software UK: /custom-software-development/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Case Studies: /case-studies/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Build Something Similar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Book a free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-&gt;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Article | retail loyalty platform uk gdpr pecr, smart loyalty personalisation uk, retailtech loyalty saas uk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2026-06-07T18:38:00.117Z</dcterms:created>
  <dcterms:modified xsi:type="dcterms:W3CDTF">2026-06-07T18:38:00.117Z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