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What is OAuth 2.0? UK Definition &amp; Guide | ClickMasters
META DESC: OAuth 2.0 explained for UK software developers. OAuth 2.0 is an authorisation framework that allows applications to obtain limited access to a user's account on another...
SLUG: /glossary/oauth-definition/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4 min  |  Written by: ClickMasters Technical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Glossary</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What is OAuth 2.0?</w:t>
      </w:r>
    </w:p>
    <w:p>
      <w:pPr>
        <w:spacing w:after="60" w:before="60"/>
      </w:pPr>
    </w:p>
    <w:p>
      <w:pPr>
        <w:pStyle w:val="Heading1"/>
        <w:spacing w:after="160" w:before="360"/>
      </w:pPr>
      <w:r>
        <w:rPr>
          <w:rFonts w:ascii="Arial" w:cs="Arial" w:eastAsia="Arial" w:hAnsi="Arial"/>
          <w:b/>
          <w:bCs/>
          <w:color w:val="0B1F3A"/>
          <w:sz w:val="40"/>
          <w:szCs w:val="40"/>
        </w:rPr>
        <w:t xml:space="preserve">What is OAuth 2.0? — UK Software Development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Definition</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Context</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Related Terms</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Commercial Use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OAuth 2.0 is an authorisation framework that allows applications to obtain limited access to a user's account on another service, without exposing the user's password. It delegates authorisation — "this application can read my Google Drive files" — rather than sharing credentials.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OAuth 2.0 — UK Context</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OAuth 2.0 is the foundation of UK Open Banking (OBIE APIs), NHS Login (OIDC extends OAuth 2.0), and HMRC MTD authentication. Government APIs use the Authorisation Code flow with PKCE (Proof Key for Code Exchange) as the security best practice. GDPR implications: OAuth 2.0 consent is related to but distinct from GDPR consent — granting an OAuth scope does not constitute GDPR consent for processing purposes.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Terms</w:t>
            </w:r>
          </w:p>
        </w:tc>
      </w:tr>
    </w:tbl>
    <w:p>
      <w:pPr>
        <w:spacing w:after="60" w:before="60"/>
      </w:pPr>
    </w:p>
    <w:p>
      <w:pPr>
        <w:spacing w:after="160" w:before="100"/>
      </w:pPr>
      <w:r>
        <w:rPr>
          <w:rFonts w:ascii="Arial" w:cs="Arial" w:eastAsia="Arial" w:hAnsi="Arial"/>
          <w:b/>
          <w:bCs/>
          <w:i w:val="false"/>
          <w:iCs w:val="false"/>
          <w:color w:val="0B1F3A"/>
          <w:sz w:val="22"/>
          <w:szCs w:val="22"/>
        </w:rPr>
        <w:t xml:space="preserve">OIDC: </w:t>
      </w:r>
      <w:r>
        <w:rPr>
          <w:rFonts w:ascii="Arial" w:cs="Arial" w:eastAsia="Arial" w:hAnsi="Arial"/>
          <w:b w:val="false"/>
          <w:bCs w:val="false"/>
          <w:i w:val="false"/>
          <w:iCs w:val="false"/>
          <w:color w:val="1A2332"/>
          <w:sz w:val="22"/>
          <w:szCs w:val="22"/>
        </w:rPr>
        <w:t xml:space="preserve">OpenID Connect — extends OAuth 2.0 with identity verification.</w:t>
      </w:r>
    </w:p>
    <w:p>
      <w:pPr>
        <w:spacing w:after="160" w:before="100"/>
      </w:pPr>
      <w:r>
        <w:rPr>
          <w:rFonts w:ascii="Arial" w:cs="Arial" w:eastAsia="Arial" w:hAnsi="Arial"/>
          <w:b/>
          <w:bCs/>
          <w:i w:val="false"/>
          <w:iCs w:val="false"/>
          <w:color w:val="0B1F3A"/>
          <w:sz w:val="22"/>
          <w:szCs w:val="22"/>
        </w:rPr>
        <w:t xml:space="preserve">PKCE: </w:t>
      </w:r>
      <w:r>
        <w:rPr>
          <w:rFonts w:ascii="Arial" w:cs="Arial" w:eastAsia="Arial" w:hAnsi="Arial"/>
          <w:b w:val="false"/>
          <w:bCs w:val="false"/>
          <w:i w:val="false"/>
          <w:iCs w:val="false"/>
          <w:color w:val="1A2332"/>
          <w:sz w:val="22"/>
          <w:szCs w:val="22"/>
        </w:rPr>
        <w:t xml:space="preserve">Proof Key for Code Exchange — security extension to OAuth 2.0 preventing code interception attacks.</w:t>
      </w:r>
    </w:p>
    <w:p>
      <w:pPr>
        <w:spacing w:after="160" w:before="100"/>
      </w:pPr>
      <w:r>
        <w:rPr>
          <w:rFonts w:ascii="Arial" w:cs="Arial" w:eastAsia="Arial" w:hAnsi="Arial"/>
          <w:b/>
          <w:bCs/>
          <w:i w:val="false"/>
          <w:iCs w:val="false"/>
          <w:color w:val="0B1F3A"/>
          <w:sz w:val="22"/>
          <w:szCs w:val="22"/>
        </w:rPr>
        <w:t xml:space="preserve">JWT: </w:t>
      </w:r>
      <w:r>
        <w:rPr>
          <w:rFonts w:ascii="Arial" w:cs="Arial" w:eastAsia="Arial" w:hAnsi="Arial"/>
          <w:b w:val="false"/>
          <w:bCs w:val="false"/>
          <w:i w:val="false"/>
          <w:iCs w:val="false"/>
          <w:color w:val="1A2332"/>
          <w:sz w:val="22"/>
          <w:szCs w:val="22"/>
        </w:rPr>
        <w:t xml:space="preserve">JSON Web Token — the most common format for OAuth access tokens.</w:t>
      </w:r>
    </w:p>
    <w:p>
      <w:pPr>
        <w:spacing w:after="160" w:before="100"/>
      </w:pPr>
      <w:r>
        <w:rPr>
          <w:rFonts w:ascii="Arial" w:cs="Arial" w:eastAsia="Arial" w:hAnsi="Arial"/>
          <w:b/>
          <w:bCs/>
          <w:i w:val="false"/>
          <w:iCs w:val="false"/>
          <w:color w:val="0B1F3A"/>
          <w:sz w:val="22"/>
          <w:szCs w:val="22"/>
        </w:rPr>
        <w:t xml:space="preserve">Open Banking: </w:t>
      </w:r>
      <w:r>
        <w:rPr>
          <w:rFonts w:ascii="Arial" w:cs="Arial" w:eastAsia="Arial" w:hAnsi="Arial"/>
          <w:b w:val="false"/>
          <w:bCs w:val="false"/>
          <w:i w:val="false"/>
          <w:iCs w:val="false"/>
          <w:color w:val="1A2332"/>
          <w:sz w:val="22"/>
          <w:szCs w:val="22"/>
        </w:rPr>
        <w:t xml:space="preserve">UK Open Banking APIs use OAuth 2.0 for customer authorisation.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API Development UK: /api-development/</w:t>
      </w:r>
    </w:p>
    <w:p>
      <w:pPr>
        <w:pStyle w:val="ListParagraph"/>
        <w:numPr>
          <w:ilvl w:val="0"/>
          <w:numId w:val="2"/>
        </w:numPr>
        <w:spacing w:after="60" w:before="60"/>
      </w:pPr>
      <w:r>
        <w:rPr>
          <w:rFonts w:ascii="Arial" w:cs="Arial" w:eastAsia="Arial" w:hAnsi="Arial"/>
          <w:b w:val="false"/>
          <w:bCs w:val="false"/>
          <w:color w:val="1A2332"/>
          <w:sz w:val="22"/>
          <w:szCs w:val="22"/>
        </w:rPr>
        <w:t xml:space="preserve">Open Banking Development: /open-banking-development-guide/</w:t>
      </w:r>
    </w:p>
    <w:p>
      <w:pPr>
        <w:pStyle w:val="ListParagraph"/>
        <w:numPr>
          <w:ilvl w:val="0"/>
          <w:numId w:val="2"/>
        </w:numPr>
        <w:spacing w:after="60" w:before="60"/>
      </w:pPr>
      <w:r>
        <w:rPr>
          <w:rFonts w:ascii="Arial" w:cs="Arial" w:eastAsia="Arial" w:hAnsi="Arial"/>
          <w:b w:val="false"/>
          <w:bCs w:val="false"/>
          <w:color w:val="1A2332"/>
          <w:sz w:val="22"/>
          <w:szCs w:val="22"/>
        </w:rPr>
        <w:t xml:space="preserve">HMRC MTD Integration: /hmrc-making-tax-digital/</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Expert Advice on OAuth 2.0</w:t>
            </w:r>
          </w:p>
          <w:p>
            <w:pPr>
              <w:spacing w:after="160" w:before="0"/>
            </w:pPr>
            <w:r>
              <w:rPr>
                <w:rFonts w:ascii="Arial" w:cs="Arial" w:eastAsia="Arial" w:hAnsi="Arial"/>
                <w:color w:val="BDD0E8"/>
                <w:sz w:val="22"/>
                <w:szCs w:val="22"/>
              </w:rPr>
              <w:t xml:space="preserve">ClickMasters applies OAuth 2.0 in every project. 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DefinedTerm + FAQPage | "what is oauth 2.0"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2026-05-21T16:31:29.943Z</dcterms:created>
  <dcterms:modified xsi:type="dcterms:W3CDTF">2026-05-21T16:31:29.943Z</dcterms:modified>
</cp:coreProperties>
</file>

<file path=docProps/custom.xml><?xml version="1.0" encoding="utf-8"?>
<Properties xmlns="http://schemas.openxmlformats.org/officeDocument/2006/custom-properties" xmlns:vt="http://schemas.openxmlformats.org/officeDocument/2006/docPropsVTypes"/>
</file>