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Legacy Modernisation for FinTech UK | ClickMasters
META DESC: Legacy Modernisation for UK FinTech. FCA PS21/3. GBP30,000--GBP160,000.
SLUG: /fintech-legacy-modernisation-fintech/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Legacy Modernisation for FinTech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FinTech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PS21/3</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GBP30,000--GBP160,000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Legacy Modernisation for UK FinTech with FCA PS21/3,  FCA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FinTech -- UK Specifics</w:t>
            </w:r>
          </w:p>
        </w:tc>
      </w:tr>
    </w:tbl>
    <w:p>
      <w:pPr>
        <w:spacing w:after="60" w:before="60"/>
      </w:pPr>
    </w:p>
    <w:p>
      <w:pPr>
        <w:spacing w:after="160" w:before="100"/>
      </w:pPr>
      <w:r>
        <w:rPr>
          <w:rFonts w:ascii="Arial" w:cs="Arial" w:eastAsia="Arial" w:hAnsi="Arial"/>
          <w:b/>
          <w:bCs/>
          <w:color w:val="E8612A"/>
          <w:sz w:val="22"/>
          <w:szCs w:val="22"/>
        </w:rPr>
        <w:t xml:space="preserve">UK FinTech Legacy Technology Landscape: </w:t>
      </w:r>
      <w:r>
        <w:rPr>
          <w:rFonts w:ascii="Arial" w:cs="Arial" w:eastAsia="Arial" w:hAnsi="Arial"/>
          <w:b w:val="false"/>
          <w:bCs w:val="false"/>
          <w:color w:val="1A2332"/>
          <w:sz w:val="22"/>
          <w:szCs w:val="22"/>
        </w:rPr>
        <w:t xml:space="preserve">Common UK FinTech legacy systems in 2026: (1) COBOL core banking (UK clearing banks -- COBOL processes GBP6+ trillion annually in UK), (2) legacy Temenos T24 (on-premises -- migrating to Temenos Infinity cloud), (3) legacy Finastra FusionBanking (major UK retail and commercial banking), (4) legacy .NET Framework 4.x payment gateways (FCA Consumer Duty UX overhaul required), (5) legacy IBM iSeries AS/400 (insurance and pension legacy). FCA Consumer Duty is the primary UK FinTech legacy modernisation driver in 2025-2026 -- legacy systems unable to support digital cancellation, renewal pricing parity, or accessible UX are creating FCA enforcement risk.</w:t>
      </w:r>
    </w:p>
    <w:p>
      <w:pPr>
        <w:spacing w:after="60" w:before="60"/>
      </w:pPr>
    </w:p>
    <w:p>
      <w:pPr>
        <w:spacing w:after="160" w:before="100"/>
      </w:pPr>
      <w:r>
        <w:rPr>
          <w:rFonts w:ascii="Arial" w:cs="Arial" w:eastAsia="Arial" w:hAnsi="Arial"/>
          <w:b/>
          <w:bCs/>
          <w:color w:val="E8612A"/>
          <w:sz w:val="22"/>
          <w:szCs w:val="22"/>
        </w:rPr>
        <w:t xml:space="preserve">FCA PS21/3 IBS Migration Risk: </w:t>
      </w:r>
      <w:r>
        <w:rPr>
          <w:rFonts w:ascii="Arial" w:cs="Arial" w:eastAsia="Arial" w:hAnsi="Arial"/>
          <w:b w:val="false"/>
          <w:bCs w:val="false"/>
          <w:color w:val="1A2332"/>
          <w:sz w:val="22"/>
          <w:szCs w:val="22"/>
        </w:rPr>
        <w:t xml:space="preserve">PS21/3 IBS migration: migrating an Important Business Service is the highest-risk FinTech change event. Controls: (1) dual-run period (legacy and new both running -- comparison testing 30-60 days), (2) incremental traffic migration (1% to new system, monitor IBS metrics, ramp to 100% over 4-8 weeks), (3) rollback tested (rollback to legacy within 30 minutes -- documented and tested), (4) IBS monitoring during migration (CloudWatch Synthetics on both legacy and new endpoints), (5) CAB approval (migration plan approved, documented rationale). ClickMasters principle: never recommend big-bang cutover for an FCA IBS. Strangler Fig is the only safe approach.</w:t>
      </w:r>
    </w:p>
    <w:p>
      <w:pPr>
        <w:spacing w:after="60" w:before="60"/>
      </w:pPr>
    </w:p>
    <w:p>
      <w:pPr>
        <w:spacing w:after="160" w:before="100"/>
      </w:pPr>
      <w:r>
        <w:rPr>
          <w:rFonts w:ascii="Arial" w:cs="Arial" w:eastAsia="Arial" w:hAnsi="Arial"/>
          <w:b/>
          <w:bCs/>
          <w:color w:val="E8612A"/>
          <w:sz w:val="22"/>
          <w:szCs w:val="22"/>
        </w:rPr>
        <w:t xml:space="preserve">Consumer Duty FinTech Legacy Failures: </w:t>
      </w:r>
      <w:r>
        <w:rPr>
          <w:rFonts w:ascii="Arial" w:cs="Arial" w:eastAsia="Arial" w:hAnsi="Arial"/>
          <w:b w:val="false"/>
          <w:bCs w:val="false"/>
          <w:color w:val="1A2332"/>
          <w:sz w:val="22"/>
          <w:szCs w:val="22"/>
        </w:rPr>
        <w:t xml:space="preserve">Most common FCA Consumer Duty legacy failures: (1) renewal pricing (legacy cannot generate new customer equivalent price -- PS21/11 breach), (2) cancellation (phone-only cancellation -- Consumer Duty requires digital), (3) fee transparency (statements do not show total annual fee), (4) AML (paper KYC, rules-only monitoring -- JMLSG expects risk-based approach), (5) accessibility (legacy interfaces failing WCAG 2.1 axe scans). ClickMasters Consumer Duty FinTech audit: 2-day assessment identifying all failures with prioritised remediation roadmap. GBP5,000 fixed price.</w:t>
      </w:r>
    </w:p>
    <w:p>
      <w:pPr>
        <w:spacing w:after="60" w:before="60"/>
      </w:pPr>
    </w:p>
    <w:p>
      <w:pPr>
        <w:spacing w:after="160" w:before="100"/>
      </w:pPr>
      <w:r>
        <w:rPr>
          <w:rFonts w:ascii="Arial" w:cs="Arial" w:eastAsia="Arial" w:hAnsi="Arial"/>
          <w:b/>
          <w:bCs/>
          <w:color w:val="E8612A"/>
          <w:sz w:val="22"/>
          <w:szCs w:val="22"/>
        </w:rPr>
        <w:t xml:space="preserve">COBOL Core Banking Strangler Fig: </w:t>
      </w:r>
      <w:r>
        <w:rPr>
          <w:rFonts w:ascii="Arial" w:cs="Arial" w:eastAsia="Arial" w:hAnsi="Arial"/>
          <w:b w:val="false"/>
          <w:bCs w:val="false"/>
          <w:color w:val="1A2332"/>
          <w:sz w:val="22"/>
          <w:szCs w:val="22"/>
        </w:rPr>
        <w:t xml:space="preserve">COBOL Strangler Fig: (1) COBOL wrapper API (expose COBOL as REST API -- IBM z/OS Connect or MuleSoft COBOL connector), (2) new microservices behind facade (call COBOL API -- COBOL core unchanged), (3) data sync (new model synced to COBOL -- eventual consistency), (4) UI modernisation (new React frontend calls new microservices), (5) gradual decommission (over 3-5 years -- as each function is replicated). COBOL talent shortage: average UK COBOL programmer is 58 years old. Strangler Fig is a talent risk mitigation strategy as much as a technology choice.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FCA PS21/3, FCA Consumer Duty, AML MLRs 2017, UK GDPR, Cyber Essentials Plus,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GBP30,000--GBP160,000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FinTech legacy modernisation timeline?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(1) Single Consumer Duty journey fix (Strangler Fig): 8-16 weeks. (2) Full payment gateway replacement: 16-28 weeks. (3) Core banking front-end modernisation (new React over legacy COBOL API): 24-40 weeks. (4) Full core banking migration (COBOL to cloud-native -- Strangler Fig): 48-96 weeks. ClickMasters principle: never recommend big-bang migration for an FCA IBS. The cost of PS21/3 non-compliance during a failed migration exceeds the cost of a slower incremental approach.</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COBOL migration affect FCA PS21/3?</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COBOL core banking is typically an IBS. PS21/3 migration requirements: (1) migration plan is an IBS change -- CAB approval required, (2) dual-run period is required (COBOL remains available as IBS backup), (3) Impact Tolerance must be maintained throughout (IBS downtime within Impact Tolerance during cutover), (4) rollback tested (rollback from new system to COBOL within Impact Tolerance if migration fails). FCA expects to see migration risk management in PS21/3 board reports.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UK: /fintech-software-development/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UK Legacy Modernisation Guide: /uk-legacy-modernisation-guide/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Legacy Modernisation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fintech legacy modernisation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2026-06-08T10:54:27.609Z</dcterms:created>
  <dcterms:modified xsi:type="dcterms:W3CDTF">2026-06-08T10:54:27.609Z</dcterms:modified>
</cp:coreProperties>
</file>

<file path=docProps/custom.xml><?xml version="1.0" encoding="utf-8"?>
<Properties xmlns="http://schemas.openxmlformats.org/officeDocument/2006/custom-properties" xmlns:vt="http://schemas.openxmlformats.org/officeDocument/2006/docPropsVTypes"/>
</file>