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RetailTech UK AI Personalisation and Recommendation Engine -- ClickMasters Case Study
META DESC: A UK fashion retailer (GBP280M annual revenue, 4.8M loyalty members, 840 physical stores, 42M website sessions...
SLUG: /case-studies/retailtech-ai-personalisation-recommendation-uk/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RetailTech UK AI Personalisation and Recommendation Engine</w:t>
      </w:r>
    </w:p>
    <w:p>
      <w:pPr>
        <w:spacing w:after="60" w:before="60"/>
      </w:pPr>
    </w:p>
    <w:p>
      <w:pPr>
        <w:pStyle w:val="Heading1"/>
        <w:spacing w:after="160" w:before="360"/>
      </w:pPr>
      <w:r>
        <w:rPr>
          <w:rFonts w:ascii="Arial" w:cs="Arial" w:eastAsia="Arial" w:hAnsi="Arial"/>
          <w:b/>
          <w:bCs/>
          <w:color w:val="0B1F3A"/>
          <w:sz w:val="40"/>
          <w:szCs w:val="40"/>
        </w:rPr>
        <w:t xml:space="preserve">RetailTech UK AI Personalisation and Recommendation 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RetailTech / AI / Personalisation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Sector: RetailTech / AI / Personalisation | Tech: React, Node.js/Fastify, PostgreSQL, Weaviate (vector search, ECS Fargate eu-west-2), Apache Spark (ALS collaborative filtering), AWS ElastiCache Redis (real-time recommendations), OneTrust (consent), Statsig (A/B testing), AWS eu-west-2 | Compliance: PECR, ICO DPIA, UK GDPR, Equality Act 2010 (AI bias), PCI-DSS SAQ-A, WCAG 2.1 AA,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color w:val="1A2332"/>
          <w:sz w:val="22"/>
          <w:szCs w:val="22"/>
        </w:rPr>
        <w:t xml:space="preserve">A UK fashion retailer (GBP280M annual revenue, 4.8M loyalty members, 840 physical stores, 42M website sessions/year) needed an AI personalisation platform -- replacing a rules-based merchandising system with ML-powered product recommendations, personalised emails, and AI search. PECR (behavioural tracking consent), ICO DPIA (personalisation profiling), FCA (not applicable), UK GDPR, WCAG 2.1 AA, Equality Act 2010 (AI bias in recommendations), PCI-DSS SAQ-A. Budget GBP140,000.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color w:val="E8612A"/>
          <w:sz w:val="22"/>
          <w:szCs w:val="22"/>
        </w:rPr>
        <w:t xml:space="preserve">PECR-Compliant Personalisation Architecture: </w:t>
      </w:r>
      <w:r>
        <w:rPr>
          <w:rFonts w:ascii="Arial" w:cs="Arial" w:eastAsia="Arial" w:hAnsi="Arial"/>
          <w:b w:val="false"/>
          <w:bCs w:val="false"/>
          <w:color w:val="1A2332"/>
          <w:sz w:val="22"/>
          <w:szCs w:val="22"/>
        </w:rPr>
        <w:t xml:space="preserve">PECR (Privacy and Electronic Communications Regulations) consent for personalisation: ClickMasters PECR architecture: (1) consent management platform (OneTrust -- consent captured with timestamp, IP, consent version -- separate consent for personalised recommendations vs marketing emails vs analytics), (2) personalisation tiers (anonymous browsing -- no personal data used; email-identified -- product history only; logged-in -- full purchase history + browsing), (3) PECR-first product recommendation (non-personalised recommendations always available -- no dark patterns forcing consent), (4) consent withdrawal (customer withdraws consent -- recommendations revert to non-personalised immediately, event published to all downstream ML models), (5) ICO DPIA (personalisation profiling constitutes systematic processing -- DPIA mandatory under GDPR Article 35).</w:t>
      </w:r>
    </w:p>
    <w:p>
      <w:pPr>
        <w:spacing w:after="160" w:before="100"/>
      </w:pPr>
      <w:r>
        <w:rPr>
          <w:rFonts w:ascii="Arial" w:cs="Arial" w:eastAsia="Arial" w:hAnsi="Arial"/>
          <w:b/>
          <w:bCs/>
          <w:color w:val="E8612A"/>
          <w:sz w:val="22"/>
          <w:szCs w:val="22"/>
        </w:rPr>
        <w:t xml:space="preserve">ML Recommendation Engine Architecture: </w:t>
      </w:r>
      <w:r>
        <w:rPr>
          <w:rFonts w:ascii="Arial" w:cs="Arial" w:eastAsia="Arial" w:hAnsi="Arial"/>
          <w:b w:val="false"/>
          <w:bCs w:val="false"/>
          <w:color w:val="1A2332"/>
          <w:sz w:val="22"/>
          <w:szCs w:val="22"/>
        </w:rPr>
        <w:t xml:space="preserve">Product recommendation ML: (1) item embeddings (product2vec -- product catalogue vectorised using co-purchase co-occurrence -- similar to word2vec applied to transaction sequences), (2) user-item collaborative filtering (Alternating Least Squares -- ALS -- matrix factorisation for purchase history -- Spark MLlib), (3) real-time recommendations API (&lt; 40ms P99 -- AWS ElastiCache Redis + pre-computed recommendation vectors), (4) context-aware filtering (session context -- category browsing, search term -- reranks recommendations in real-time), (5) cold start handling (new customer -- category bestsellers until 5 interactions accumulated). Equality Act 2010 fairness: recommendation engine tested quarterly for demographic bias -- size inclusivity (products not recommended disproportionately by size availability), price segment bias (recommendations should not systematically guide customers to higher price products without product quality justification).</w:t>
      </w:r>
    </w:p>
    <w:p>
      <w:pPr>
        <w:spacing w:after="160" w:before="100"/>
      </w:pPr>
      <w:r>
        <w:rPr>
          <w:rFonts w:ascii="Arial" w:cs="Arial" w:eastAsia="Arial" w:hAnsi="Arial"/>
          <w:b/>
          <w:bCs/>
          <w:color w:val="E8612A"/>
          <w:sz w:val="22"/>
          <w:szCs w:val="22"/>
        </w:rPr>
        <w:t xml:space="preserve">AI Search with UK Retail Terminology: </w:t>
      </w:r>
      <w:r>
        <w:rPr>
          <w:rFonts w:ascii="Arial" w:cs="Arial" w:eastAsia="Arial" w:hAnsi="Arial"/>
          <w:b w:val="false"/>
          <w:bCs w:val="false"/>
          <w:color w:val="1A2332"/>
          <w:sz w:val="22"/>
          <w:szCs w:val="22"/>
        </w:rPr>
        <w:t xml:space="preserve">AI search for UK fashion retail: (1) vector search (Weaviate -- product catalogue vectorised -- semantic search -- search for blue summer dress returns navy, cobalt, turquoise dresses), (2) UK terminology handling (jumper vs sweater, trousers vs pants, trainers vs sneakers -- UK English model), (3) personalised search ranking (logged-in customer -- search results reranked by purchase history and size -- logged-in personalisation gated by PECR consent), (4) spell correction (British English -- colour, grey, licence -- standard UK retail vocabulary), (5) zero results handling (search returns no results -- suggest nearest semantic match, not empty page). Weaviate: open source vector database -- deployed on ECS Fargate eu-west-2 -- no third-party SaaS data transfer.</w:t>
      </w:r>
    </w:p>
    <w:p>
      <w:pPr>
        <w:spacing w:after="160" w:before="100"/>
      </w:pPr>
      <w:r>
        <w:rPr>
          <w:rFonts w:ascii="Arial" w:cs="Arial" w:eastAsia="Arial" w:hAnsi="Arial"/>
          <w:b/>
          <w:bCs/>
          <w:color w:val="E8612A"/>
          <w:sz w:val="22"/>
          <w:szCs w:val="22"/>
        </w:rPr>
        <w:t xml:space="preserve">Email Personalisation and PECR: </w:t>
      </w:r>
      <w:r>
        <w:rPr>
          <w:rFonts w:ascii="Arial" w:cs="Arial" w:eastAsia="Arial" w:hAnsi="Arial"/>
          <w:b w:val="false"/>
          <w:bCs w:val="false"/>
          <w:color w:val="1A2332"/>
          <w:sz w:val="22"/>
          <w:szCs w:val="22"/>
        </w:rPr>
        <w:t xml:space="preserve">Email personalisation with PECR compliance: (1) transactional emails (order confirmation, dispatch notification -- no consent required -- legitimate interest for transaction), (2) marketing emails (PECR s.22 -- explicit prior consent required -- separate from product recommendation consent), (3) personalised marketing (product recommendations in marketing emails -- requires both marketing email consent AND recommendation personalisation consent), (4) email engagement scoring (open rate, click rate by customer -- determines send frequency), (5) unsubscribe (one-click unsubscribe -- ICO PECR guidance -- unsubscribe must work immediately). PECR marketing consent rate: ClickMasters A/B tested 3 consent collection UX patterns -- consent captured at account creation (highest rate: 68%), consent captured post-purchase (58%), consent captured at newsletter signup (42%).</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color w:val="1A2332"/>
          <w:sz w:val="22"/>
          <w:szCs w:val="22"/>
        </w:rPr>
        <w:t xml:space="preserve">Platform live at 26 weeks, GBP132,000. 4.8M loyalty members. Personalisation consent rate: 72.4%. Recommendation engine: +24.8% revenue per session vs non-personalised (A/B tested, Statsig -- 90-day test, 99.5% statistical significance). AI search: +18.4% search-to-purchase conversion vs legacy keyword search. Email personalisation: +34.2% click-through rate vs non-personalised. ICO DPIA filed. Equality Act AI bias test: quarterly, demographic parity confirmed.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+24.8% revenue per session. +18.4% search-to-purchase. +34.2% email click-through. PECR consent 72.4%. ICO DPIA filed. Equality Act AI bias quarterly confirmed. The PECR consent architecture -- non-personalised recommendations always available without consent -- was the design decision that maintained 72.4% consent rate. Customers who feel their consent is genuinely optional give it more freely. Dark pattern consent flows achieve higher nominal rates but ICO enforcement is increasing on dark patterns in 2026. 72.4% genuine consent is better than 94% dark pattern consent. -- Chief Digital Officer, UK Fashion Retailer</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Weaviate (vector search, ECS Fargate eu-west-2), Apache Spark (ALS collaborative filtering), AWS ElastiCache Redis (real-time recommendations), OneTrust (consent), Statsig (A/B testing),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PECR, ICO DPIA, UK GDPR, Equality Act 2010 (AI bias), PCI-DSS SAQ-A, WCAG 2.1 AA,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retailtech ai personalisation recommendation engine uk, uk fashion ai recommendations pecr, retail personalisation ai uk gdpr</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2026-06-09T06:33:54.774Z</dcterms:created>
  <dcterms:modified xsi:type="dcterms:W3CDTF">2026-06-09T06:33:54.774Z</dcterms:modified>
</cp:coreProperties>
</file>

<file path=docProps/custom.xml><?xml version="1.0" encoding="utf-8"?>
<Properties xmlns="http://schemas.openxmlformats.org/officeDocument/2006/custom-properties" xmlns:vt="http://schemas.openxmlformats.org/officeDocument/2006/docPropsVTypes"/>
</file>