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META TITLE: Temporal vs Bull vs Agenda -- UK Job Queue 2026 | ClickMasters
META DESC: BullMQ (Redis-backed) is ClickMasters default for UK background jobs: mature, well-supported, excellent failure handling, and straightforward integration w
SLUG: /temporal-vs-bull-vs-agenda-uk-job-queue-2026/</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Last updated: June 2026  |  Reading time: 9 min  |  Written by: ClickMasters Strategy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&gt; </w:t>
      </w:r>
      <w:r>
        <w:rPr>
          <w:rFonts w:ascii="Arial" w:cs="Arial" w:eastAsia="Arial" w:hAnsi="Arial"/>
          <w:b/>
          <w:bCs/>
          <w:color w:val="1A2332"/>
          <w:sz w:val="18"/>
          <w:szCs w:val="18"/>
        </w:rPr>
        <w:t xml:space="preserve">Temporal vs Bull vs Agenda -- UK Job Queue 2026</w:t>
      </w:r>
    </w:p>
    <w:p>
      <w:pPr>
        <w:spacing w:after="60" w:before="60"/>
      </w:pPr>
    </w:p>
    <w:p>
      <w:pPr>
        <w:pStyle w:val="Heading1"/>
        <w:spacing w:after="160" w:before="360"/>
      </w:pPr>
      <w:r>
        <w:rPr>
          <w:rFonts w:ascii="Arial" w:cs="Arial" w:eastAsia="Arial" w:hAnsi="Arial"/>
          <w:b/>
          <w:bCs/>
          <w:color w:val="0B1F3A"/>
          <w:sz w:val="40"/>
          <w:szCs w:val="40"/>
        </w:rPr>
        <w:t xml:space="preserve">Temporal vs BullMQ vs Agenda -- UK Background Job Queue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GBP</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Comparison</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 GDPR</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 Law</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color w:val="0B1F3A"/>
                <w:sz w:val="22"/>
                <w:szCs w:val="22"/>
              </w:rPr>
              <w:t xml:space="preserve">Direct Answer: BullMQ (Redis-backed) is ClickMasters default for UK background jobs: mature, well-supported, excellent failure handling, and straightforward integration with ElastiCache Redis (eu-west-2) for NHS DTAC data residency. Temporal is right for long-running, multi-step workflows requiring durable execution (NHS DTAC application process automation, FCA KYC multi-step onboarding). Agenda (MongoDB-backed) is legacy for new UK builds.</w:t>
            </w:r>
          </w:p>
        </w:tc>
      </w:tr>
    </w:tbl>
    <w:p>
      <w:pPr>
        <w:spacing w:after="60" w:before="60"/>
      </w:pPr>
    </w:p>
    <w:p>
      <w:pPr>
        <w:spacing w:after="160" w:before="100"/>
      </w:pPr>
      <w:r>
        <w:rPr>
          <w:rFonts w:ascii="Arial" w:cs="Arial" w:eastAsia="Arial" w:hAnsi="Arial"/>
          <w:b w:val="false"/>
          <w:bCs w:val="false"/>
          <w:color w:val="1A2332"/>
          <w:sz w:val="22"/>
          <w:szCs w:val="22"/>
        </w:rPr>
        <w:t xml:space="preserve">Job queue choice affects NHS DTAC data residency, FCA PS21/3 event processing reliability, and UK GDPR audit trail completeness for background processing.</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Temporal vs BullMQ vs Agenda -- UK Job Queue Comparison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75"/>
        <w:gridCol w:w="2275"/>
        <w:gridCol w:w="2276"/>
      </w:tblGrid>
      <w:tr>
        <w:trPr>
          <w:tblHeader/>
        </w:trPr>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Factor</w:t>
            </w:r>
          </w:p>
        </w:tc>
        <w:tc>
          <w:tcPr>
            <w:tcW w:type="dxa" w:w="2275"/>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BullMQ (Redis)</w:t>
            </w:r>
          </w:p>
        </w:tc>
        <w:tc>
          <w:tcPr>
            <w:tcW w:type="dxa" w:w="2275"/>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Temporal (durable execution)</w:t>
            </w:r>
          </w:p>
        </w:tc>
        <w:tc>
          <w:tcPr>
            <w:tcW w:type="dxa" w:w="227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Agenda (MongoDB)</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NHS DTAC data residency</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BEST -- ElastiCache Redis eu-west-2, VPC private</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Temporal Cloud or self-hosted -- DTAC review needed</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MongoDB Atlas EU or self-hosted</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FCA PS21/3 DLQ monitoring</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BEST -- BullMQ failed queue + CloudWatch alarm native</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Workflow failure monitoring -- good</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Less mature monitoring</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Long-running multi-step workflows</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Limited -- job timeout constraints</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BEST -- durable execution, survives restarts</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Limited -- similar to BullMQ</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NHS HMRC PAYE monthly batch</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BEST -- BullMQ scheduled jobs (cron), progress tracking</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Workflow with scheduled start</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Agenda scheduled jobs -- adequate</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FCA SAR filing workflow (multi-step)</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Good -- chained jobs</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BEST -- durable workflow survives server restarts</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Less suitable</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GDPR audit trail</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Good -- job history in Redis (TTL configurable)</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BEST -- full workflow history, immutable</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MongoDB-based -- adequate</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Developer experience</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BEST -- npm, TypeScript, simple API</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More complex -- workflow registration, worker setup</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Simple but less maintained</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Infrastructure requirement</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ElastiCache Redis (already in stack)</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Temporal server (self-hosted) or Temporal Cloud</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MongoDB (separate if not in stack)</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ClickMasters default</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All UK background jobs (NHS batch, FCA reporting, emails)</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Complex multi-step workflows (onboarding, approvals)</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Legacy projects only</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Should UK FinTech use Temporal for AML KYC onboarding?</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Temporal for FCA AML KYC onboarding: ClickMasters recommendation is yes -- Temporal is excellent for multi-step regulated onboarding workflows. AML KYC onboarding steps: (1) identity verification (Onfido API -- async, may take minutes), (2) KYC data wait (Onfido webhook received -- continue workflow), (3) sanctions screening (ComplyAdvantage API), (4) credit check (Experian API), (5) risk scoring (ML model), (6) decision (automated or manual review), (7) account creation (if approved), (8) HMRC reporting (if required). Why Temporal: (1) durable execution (if server restarts between steps 3 and 4, Temporal resumes at step 4 -- no duplicate Onfido call, no lost KYC data), (2) built-in retry (each step has configurable retry with exponential backoff), (3) workflow history (complete audit trail per customer onboarding -- FCA JMLSG evidence), (4) compensation (if step 6 fails after step 5 -- rollback logic defined). ClickMasters uses Temporal for all multi-step FCA regulated onboarding flows (5+ steps) and BullMQ for simpler background processing.</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Is BullMQ suitable for NHS MHSDS monthly submission?</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BullMQ for NHS MHSDS monthly submission: yes -- BullMQ is well-suited for NHS monthly batch reporting jobs. MHSDS submission workflow: (1) scheduled job (BullMQ cron -- runs on 1st of each month), (2) data extraction (query PostgreSQL -- all MHSDS records for previous month), (3) validation (NHS Digital MHSDS schema validation), (4) submission (NHS MESH API call), (5) confirmation (store MESH message ID -- receipt confirmation). BullMQ features used: (1) cron scheduling (runs monthly), (2) progress updates (job progress 0-100% -- monitoring dashboard shows submission progress), (3) retry on failure (3 retries with exponential backoff -- MESH API may be temporarily unavailable), (4) failed queue (if submission fails after retries -- CloudWatch DLQ alarm), (5) job history (BullMQ job history in Redis -- audit log of all MHSDS submissions). ClickMasters: BullMQ handles all NHS monthly batch submissions across 12 NHS clients.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UK Architecture Guide: /uk-software-architecture-guide/</w:t>
      </w:r>
    </w:p>
    <w:p>
      <w:pPr>
        <w:pStyle w:val="ListParagraph"/>
        <w:numPr>
          <w:ilvl w:val="0"/>
          <w:numId w:val="2"/>
        </w:numPr>
        <w:spacing w:after="60" w:before="60"/>
      </w:pPr>
      <w:r>
        <w:rPr>
          <w:rFonts w:ascii="Arial" w:cs="Arial" w:eastAsia="Arial" w:hAnsi="Arial"/>
          <w:color w:val="1A4A8A"/>
          <w:sz w:val="22"/>
          <w:szCs w:val="22"/>
        </w:rPr>
        <w:t xml:space="preserve">UK DevOps Guide: /uk-devops-guide/</w:t>
      </w:r>
    </w:p>
    <w:p>
      <w:pPr>
        <w:pStyle w:val="ListParagraph"/>
        <w:numPr>
          <w:ilvl w:val="0"/>
          <w:numId w:val="2"/>
        </w:numPr>
        <w:spacing w:after="60" w:before="60"/>
      </w:pPr>
      <w:r>
        <w:rPr>
          <w:rFonts w:ascii="Arial" w:cs="Arial" w:eastAsia="Arial" w:hAnsi="Arial"/>
          <w:color w:val="1A4A8A"/>
          <w:sz w:val="22"/>
          <w:szCs w:val="22"/>
        </w:rPr>
        <w:t xml:space="preserve">Kafka vs RabbitMQ vs SQS UK: /kafka-vs-rabbitmq-vs-sqs-uk-event-streaming-2026/</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Book a Free Consultation</w:t>
            </w:r>
          </w:p>
          <w:p>
            <w:pPr>
              <w:spacing w:after="160" w:before="0"/>
            </w:pPr>
            <w:r>
              <w:rPr>
                <w:rFonts w:ascii="Arial" w:cs="Arial" w:eastAsia="Arial" w:hAnsi="Arial"/>
                <w:color w:val="BDD0E8"/>
                <w:sz w:val="22"/>
                <w:szCs w:val="22"/>
              </w:rPr>
              <w:t xml:space="preserve">Honest advice.</w:t>
            </w:r>
          </w:p>
          <w:p>
            <w:pPr>
              <w:spacing w:after="0" w:before="0"/>
            </w:pPr>
            <w:r>
              <w:rPr>
                <w:rFonts w:ascii="Arial" w:cs="Arial" w:eastAsia="Arial" w:hAnsi="Arial"/>
                <w:b/>
                <w:bCs/>
                <w:color w:val="E8612A"/>
                <w:sz w:val="22"/>
                <w:szCs w:val="22"/>
              </w:rPr>
              <w:t xml:space="preserve">-&gt;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b/>
                <w:bCs/>
                <w:color w:val="0B1F3A"/>
                <w:sz w:val="22"/>
                <w:szCs w:val="22"/>
              </w:rPr>
              <w:t xml:space="preserve">AUTHOR</w:t>
            </w:r>
          </w:p>
          <w:p>
            <w:pPr>
              <w:spacing w:after="0" w:before="0"/>
            </w:pPr>
            <w:r>
              <w:rPr>
                <w:rFonts w:ascii="Arial" w:cs="Arial" w:eastAsia="Arial" w:hAnsi="Arial"/>
                <w:color w:val="5A6E82"/>
                <w:sz w:val="16"/>
                <w:szCs w:val="16"/>
              </w:rPr>
              <w:t xml:space="preserve">Expert</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Strategy Team</w:t>
            </w:r>
          </w:p>
          <w:p>
            <w:pPr>
              <w:spacing w:after="80" w:before="0"/>
            </w:pPr>
            <w:r>
              <w:rPr>
                <w:rFonts w:ascii="Arial" w:cs="Arial" w:eastAsia="Arial" w:hAnsi="Arial"/>
                <w:b/>
                <w:bCs/>
                <w:color w:val="E8612A"/>
                <w:sz w:val="20"/>
                <w:szCs w:val="20"/>
              </w:rPr>
              <w:t xml:space="preserve">UK software specialists</w:t>
            </w:r>
          </w:p>
          <w:p>
            <w:pPr>
              <w:spacing w:after="0" w:before="0"/>
            </w:pPr>
            <w:r>
              <w:rPr>
                <w:rFonts w:ascii="Arial" w:cs="Arial" w:eastAsia="Arial" w:hAnsi="Arial"/>
                <w:color w:val="1A2332"/>
                <w:sz w:val="20"/>
                <w:szCs w:val="20"/>
              </w:rPr>
              <w:t xml:space="preserve">Based on real UK market experience.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Article + FAQPage | temporal vs bull vs agenda uk job queue 2026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2026-06-09T06:49:11.008Z</dcterms:created>
  <dcterms:modified xsi:type="dcterms:W3CDTF">2026-06-09T06:49:11.008Z</dcterms:modified>
</cp:coreProperties>
</file>

<file path=docProps/custom.xml><?xml version="1.0" encoding="utf-8"?>
<Properties xmlns="http://schemas.openxmlformats.org/officeDocument/2006/custom-properties" xmlns:vt="http://schemas.openxmlformats.org/officeDocument/2006/docPropsVTypes"/>
</file>