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IR35 for UK Technology Businesses — Hiring Developers 2025 | ClickMasters
META DESC: IR35 explained for UK tech businesses. Off-payroll working rules 2021, inside vs outside IR35, SDS obligations, CEST limitations. How ClickMasters eliminates IR35 risk completely. Free guide.
SLUG: /ir35-software-development/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HR &amp; Legal Team  |  Reviewed by: Employment law specialist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IR35 for Software Development UK</w:t>
      </w:r>
    </w:p>
    <w:p>
      <w:pPr>
        <w:spacing w:after="60" w:before="60"/>
      </w:pPr>
    </w:p>
    <w:p>
      <w:pPr>
        <w:pStyle w:val="Heading1"/>
        <w:spacing w:after="160" w:before="360"/>
      </w:pPr>
      <w:r>
        <w:rPr>
          <w:rFonts w:ascii="Arial" w:cs="Arial" w:eastAsia="Arial" w:hAnsi="Arial"/>
          <w:b/>
          <w:bCs/>
          <w:color w:val="0B1F3A"/>
          <w:sz w:val="40"/>
          <w:szCs w:val="40"/>
        </w:rPr>
        <w:t xml:space="preserve">IR35 for UK Technology Businesses — Complete Guide to Off-Payroll Working Rules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Off-Payroll Rules</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April 2021 Reform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Medium/Large Businesses</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IR35 Cost Impact</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Employment Law</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ClickMasters: Zero IR35 Risk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IR35 (Off-Payroll Working Rules) is UK tax legislation that determines whether a software contractor should be taxed as an employee. Since the April 2021 reform, medium and large UK businesses are responsible for making this determination — not the contractor. Getting it wrong means your business owes unpaid income tax, NI contributions, interest, and penalties — for every miscategorised contractor engagement, retrospectively. ClickMasters eliminates this risk entirely: our developers are our employees. You engage ClickMasters as a company — one monthly invoice, no IR35 assessment required, no SDS, no HMRC liability.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receives over 5,000 monthly UK searches. ZERO software agency addresses IR35 on their website. This guide is unique in the UK market.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April 2021 Reform — What Changed and Who It Affects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IR35 was first introduced in 2000. For 17 years, contractors were responsible for assessing their own IR35 status — a system HMRC concluded resulted in widespread non-compliance. The reform process: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13"/>
        <w:gridCol w:w="2813"/>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Period</w:t>
            </w:r>
          </w:p>
        </w:tc>
        <w:tc>
          <w:tcPr>
            <w:tcW w:type="dxa" w:w="3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Who Was Responsible for IR35 Assessment</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Still Applies?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Pre-April 2017</w:t>
            </w:r>
          </w:p>
        </w:tc>
        <w:tc>
          <w:tcPr>
            <w:tcW w:type="dxa" w:w="3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Contractor — assessed their own status</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(public sector changed)</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April 2017–March 2021</w:t>
            </w:r>
          </w:p>
        </w:tc>
        <w:tc>
          <w:tcPr>
            <w:tcW w:type="dxa" w:w="3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Public sector: engaging organisation. Private sector: contractor</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(private sector changed April 2021)</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April 2021 onwards (current)</w:t>
            </w:r>
          </w:p>
        </w:tc>
        <w:tc>
          <w:tcPr>
            <w:tcW w:type="dxa" w:w="3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engaging organisation. Small businesses: contractor still responsible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CURRENT RULES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Size definitions under Companies Act 2006 — a business is "small" if it meets TWO of these three criteria:</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Annual turnover: £10.2 million or less</w:t>
      </w:r>
    </w:p>
    <w:p>
      <w:pPr>
        <w:pStyle w:val="ListParagraph"/>
        <w:numPr>
          <w:ilvl w:val="0"/>
          <w:numId w:val="2"/>
        </w:numPr>
        <w:spacing w:after="60" w:before="60"/>
      </w:pPr>
      <w:r>
        <w:rPr>
          <w:rFonts w:ascii="Arial" w:cs="Arial" w:eastAsia="Arial" w:hAnsi="Arial"/>
          <w:b w:val="false"/>
          <w:bCs w:val="false"/>
          <w:color w:val="1A2332"/>
          <w:sz w:val="22"/>
          <w:szCs w:val="22"/>
        </w:rPr>
        <w:t xml:space="preserve">Balance sheet total: £5.1 million or less</w:t>
      </w:r>
    </w:p>
    <w:p>
      <w:pPr>
        <w:pStyle w:val="ListParagraph"/>
        <w:numPr>
          <w:ilvl w:val="0"/>
          <w:numId w:val="2"/>
        </w:numPr>
        <w:spacing w:after="60" w:before="60"/>
      </w:pPr>
      <w:r>
        <w:rPr>
          <w:rFonts w:ascii="Arial" w:cs="Arial" w:eastAsia="Arial" w:hAnsi="Arial"/>
          <w:b w:val="false"/>
          <w:bCs w:val="false"/>
          <w:color w:val="1A2332"/>
          <w:sz w:val="22"/>
          <w:szCs w:val="22"/>
        </w:rPr>
        <w:t xml:space="preserve">Number of employees: 50 or fewer</w:t>
      </w:r>
    </w:p>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If your business exceeds two of these thresholds, you are medium or large — and you bear the IR35 determination liability for every contractor engagement.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Status Determination Statement (SDS) — Your Legal Obligation</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As a medium or large business engaging contractors, you must issue a Status Determination Statement (SDS) for each engagement. Legal requirements:</w:t>
      </w:r>
    </w:p>
    <w:p>
      <w:pPr>
        <w:spacing w:after="60" w:before="60"/>
      </w:pPr>
    </w:p>
    <w:p>
      <w:pPr>
        <w:spacing w:after="160" w:before="100"/>
      </w:pPr>
      <w:r>
        <w:rPr>
          <w:rFonts w:ascii="Arial" w:cs="Arial" w:eastAsia="Arial" w:hAnsi="Arial"/>
          <w:b/>
          <w:bCs/>
          <w:i w:val="false"/>
          <w:iCs w:val="false"/>
          <w:color w:val="E8612A"/>
          <w:sz w:val="22"/>
          <w:szCs w:val="22"/>
        </w:rPr>
        <w:t xml:space="preserve">What must an SDS include: </w:t>
      </w:r>
      <w:r>
        <w:rPr>
          <w:rFonts w:ascii="Arial" w:cs="Arial" w:eastAsia="Arial" w:hAnsi="Arial"/>
          <w:b w:val="false"/>
          <w:bCs w:val="false"/>
          <w:i w:val="false"/>
          <w:iCs w:val="false"/>
          <w:color w:val="1A2332"/>
          <w:sz w:val="22"/>
          <w:szCs w:val="22"/>
        </w:rPr>
        <w:t xml:space="preserve">(1) Whether the engagement is inside or outside IR35. (2) The reasons for that determination — this must be substantive, not just a conclusion. (3) The date of the determination. The SDS must be given to the contractor and any agency in the supply chain before or at the start of the engagement.</w:t>
      </w:r>
    </w:p>
    <w:p>
      <w:pPr>
        <w:spacing w:after="60" w:before="60"/>
      </w:pPr>
    </w:p>
    <w:p>
      <w:pPr>
        <w:spacing w:after="160" w:before="100"/>
      </w:pPr>
      <w:r>
        <w:rPr>
          <w:rFonts w:ascii="Arial" w:cs="Arial" w:eastAsia="Arial" w:hAnsi="Arial"/>
          <w:b/>
          <w:bCs/>
          <w:i w:val="false"/>
          <w:iCs w:val="false"/>
          <w:color w:val="E8612A"/>
          <w:sz w:val="22"/>
          <w:szCs w:val="22"/>
        </w:rPr>
        <w:t xml:space="preserve">Reasonable care obligation: </w:t>
      </w:r>
      <w:r>
        <w:rPr>
          <w:rFonts w:ascii="Arial" w:cs="Arial" w:eastAsia="Arial" w:hAnsi="Arial"/>
          <w:b w:val="false"/>
          <w:bCs w:val="false"/>
          <w:i w:val="false"/>
          <w:iCs w:val="false"/>
          <w:color w:val="1A2332"/>
          <w:sz w:val="22"/>
          <w:szCs w:val="22"/>
        </w:rPr>
        <w:t xml:space="preserve">You must apply "reasonable care" to every IR35 determination. HMRC guidance states this means: a genuine, considered assessment of the facts — not a rubber stamp. You should document the assessment process, the factors considered, and how they influenced the conclusion.</w:t>
      </w:r>
    </w:p>
    <w:p>
      <w:pPr>
        <w:spacing w:after="60" w:before="60"/>
      </w:pPr>
    </w:p>
    <w:p>
      <w:pPr>
        <w:spacing w:after="160" w:before="100"/>
      </w:pPr>
      <w:r>
        <w:rPr>
          <w:rFonts w:ascii="Arial" w:cs="Arial" w:eastAsia="Arial" w:hAnsi="Arial"/>
          <w:b/>
          <w:bCs/>
          <w:i w:val="false"/>
          <w:iCs w:val="false"/>
          <w:color w:val="E8612A"/>
          <w:sz w:val="22"/>
          <w:szCs w:val="22"/>
        </w:rPr>
        <w:t xml:space="preserve">Failure to issue an SDS: </w:t>
      </w:r>
      <w:r>
        <w:rPr>
          <w:rFonts w:ascii="Arial" w:cs="Arial" w:eastAsia="Arial" w:hAnsi="Arial"/>
          <w:b w:val="false"/>
          <w:bCs w:val="false"/>
          <w:i w:val="false"/>
          <w:iCs w:val="false"/>
          <w:color w:val="1A2332"/>
          <w:sz w:val="22"/>
          <w:szCs w:val="22"/>
        </w:rPr>
        <w:t xml:space="preserve">If you fail to issue an SDS, the liability for unpaid tax and NI automatically falls on you — even if the engagement would otherwise have been outside IR35.</w:t>
      </w:r>
    </w:p>
    <w:p>
      <w:pPr>
        <w:spacing w:after="60" w:before="60"/>
      </w:pPr>
    </w:p>
    <w:p>
      <w:pPr>
        <w:spacing w:after="160" w:before="100"/>
      </w:pPr>
      <w:r>
        <w:rPr>
          <w:rFonts w:ascii="Arial" w:cs="Arial" w:eastAsia="Arial" w:hAnsi="Arial"/>
          <w:b/>
          <w:bCs/>
          <w:i w:val="false"/>
          <w:iCs w:val="false"/>
          <w:color w:val="E8612A"/>
          <w:sz w:val="22"/>
          <w:szCs w:val="22"/>
        </w:rPr>
        <w:t xml:space="preserve">Contractor challenge rights: </w:t>
      </w:r>
      <w:r>
        <w:rPr>
          <w:rFonts w:ascii="Arial" w:cs="Arial" w:eastAsia="Arial" w:hAnsi="Arial"/>
          <w:b w:val="false"/>
          <w:bCs w:val="false"/>
          <w:i w:val="false"/>
          <w:iCs w:val="false"/>
          <w:color w:val="1A2332"/>
          <w:sz w:val="22"/>
          <w:szCs w:val="22"/>
        </w:rPr>
        <w:t xml:space="preserve">A contractor can challenge an SDS determination through a formal client-led status disagreement process. You must respond within 45 days with either a revised determination (with reasons) or a confirmation of the original (with reasons). If you ignore the challenge, you bear the tax liability.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Financial Cost of Getting IR35 Wrong</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If HMRC investigates and finds that a contractor was incorrectly categorised as outside IR35, the fee payer (you) owes:</w:t>
      </w:r>
    </w:p>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The income tax that should have been deducted under PAYE</w:t>
      </w:r>
    </w:p>
    <w:p>
      <w:pPr>
        <w:pStyle w:val="ListParagraph"/>
        <w:numPr>
          <w:ilvl w:val="0"/>
          <w:numId w:val="3"/>
        </w:numPr>
        <w:spacing w:after="60" w:before="60"/>
      </w:pPr>
      <w:r>
        <w:rPr>
          <w:rFonts w:ascii="Arial" w:cs="Arial" w:eastAsia="Arial" w:hAnsi="Arial"/>
          <w:b w:val="false"/>
          <w:bCs w:val="false"/>
          <w:color w:val="1A2332"/>
          <w:sz w:val="22"/>
          <w:szCs w:val="22"/>
        </w:rPr>
        <w:t xml:space="preserve">Employee National Insurance contributions that should have been deducted</w:t>
      </w:r>
    </w:p>
    <w:p>
      <w:pPr>
        <w:pStyle w:val="ListParagraph"/>
        <w:numPr>
          <w:ilvl w:val="0"/>
          <w:numId w:val="3"/>
        </w:numPr>
        <w:spacing w:after="60" w:before="60"/>
      </w:pPr>
      <w:r>
        <w:rPr>
          <w:rFonts w:ascii="Arial" w:cs="Arial" w:eastAsia="Arial" w:hAnsi="Arial"/>
          <w:b w:val="false"/>
          <w:bCs w:val="false"/>
          <w:color w:val="1A2332"/>
          <w:sz w:val="22"/>
          <w:szCs w:val="22"/>
        </w:rPr>
        <w:t xml:space="preserve">Employer National Insurance contributions (13.8% of gross pay — on top of the contract fee you already paid)</w:t>
      </w:r>
    </w:p>
    <w:p>
      <w:pPr>
        <w:pStyle w:val="ListParagraph"/>
        <w:numPr>
          <w:ilvl w:val="0"/>
          <w:numId w:val="3"/>
        </w:numPr>
        <w:spacing w:after="60" w:before="60"/>
      </w:pPr>
      <w:r>
        <w:rPr>
          <w:rFonts w:ascii="Arial" w:cs="Arial" w:eastAsia="Arial" w:hAnsi="Arial"/>
          <w:b w:val="false"/>
          <w:bCs w:val="false"/>
          <w:color w:val="1A2332"/>
          <w:sz w:val="22"/>
          <w:szCs w:val="22"/>
        </w:rPr>
        <w:t xml:space="preserve">Interest on unpaid amounts (from the date the tax was due)</w:t>
      </w:r>
    </w:p>
    <w:p>
      <w:pPr>
        <w:pStyle w:val="ListParagraph"/>
        <w:numPr>
          <w:ilvl w:val="0"/>
          <w:numId w:val="3"/>
        </w:numPr>
        <w:spacing w:after="60" w:before="60"/>
      </w:pPr>
      <w:r>
        <w:rPr>
          <w:rFonts w:ascii="Arial" w:cs="Arial" w:eastAsia="Arial" w:hAnsi="Arial"/>
          <w:b w:val="false"/>
          <w:bCs w:val="false"/>
          <w:color w:val="1A2332"/>
          <w:sz w:val="22"/>
          <w:szCs w:val="22"/>
        </w:rPr>
        <w:t xml:space="preserve">Penalties for non-compliance (up to 100% of the tax owed for deliberate non-disclosure)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CEA" w:sz="1"/>
              <w:left w:val="single" w:color="FDECEA" w:sz="1"/>
              <w:bottom w:val="single" w:color="FDECEA" w:sz="1"/>
              <w:right w:val="single" w:color="FDECEA" w:sz="1"/>
            </w:tcBorders>
            <w:shd w:fill="FDECE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C0392B"/>
                <w:sz w:val="22"/>
                <w:szCs w:val="22"/>
              </w:rPr>
              <w:t xml:space="preserve">Example: A senior developer engaged at £500/day, 220 days/year = £110,000 annual contract. If inside IR35 and miscategorised: Income tax on £110,000 at 40% rate: ~£28,000. Employee NI: ~£7,000. Employer NI: ~£15,180. Interest and potential penalties. Total potential HMRC claim: £50,000–£80,000+ per contractor per year — retrospectively for up to 6 years.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ClickMasters Model — Zero IR35 Risk for Clients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staff augmentation model is fundamentally different from a contractor staffing agency: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1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Typical Contractor Agency</w:t>
            </w:r>
          </w:p>
        </w:tc>
        <w:tc>
          <w:tcPr>
            <w:tcW w:type="dxa" w:w="31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Staff Augmentation</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is the employer?</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The contractor's PSC — the contractor employs themselves</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Ltd — the developer is our employee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must issue an SDS per engagement</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incorrect?</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Falls on you (the fee payer)</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 IR35 exposure for your business</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PAYE and NI handled by?</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IR35) or contractor (outside IR35)</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 regardless of engagement type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Number of invoices?</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One PSC invoice per contractor</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One monthly invoice from ClickMasters</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Right to work check?</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verify each contractor</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pre-verifies all engineers; certificate provided</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prohibits blanket "outside IR35" determinations</w:t>
            </w:r>
          </w:p>
        </w:tc>
        <w:tc>
          <w:tcPr>
            <w:tcW w:type="dxa" w:w="31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dispute risk?</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contractor can challenge your SDS</w:t>
            </w:r>
          </w:p>
        </w:tc>
        <w:tc>
          <w:tcPr>
            <w:tcW w:type="dxa" w:w="31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 individual contractor relationship</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IR35 for UK Technology Businesses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HMRC CEST tool and how reliable is it?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CEST (Check Employment Status for Tax) is HMRC's online tool for determining IR35 status. It asks a series of questions about the working arrangements and returns a determination of "inside IR35," "outside IR35," or "cannot determine." HMRC has committed to stand behind CEST results — but only if the information entered was accurate and the tool reached a determination. Limitations: CEST fails to determine status in approximately 21% of cases (returning "cannot determine"); it does not factor in all relevant case law; and its weighting of mutuality of obligation has been criticised by employment lawyers. A CEST determination is not immune from challenge — HMRC can investigate even if you used CEST, if the input information was inaccurate.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a blanket IR35 determination and why is it banned?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blanket determination is categorising all contractors as inside IR35 (or outside) without individual assessment of each engagement. HMRC guidance explicitly prohibits this — calling it a failure to take "reasonable care." After the 2021 reform, some large businesses attempted to manage their compliance risk by putting all contractors inside IR35 automatically. HMRC issued guidance stating this was not compliant with the legislation, which requires individual assessment. Contractors have the right to challenge blanket determinations.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IR35 affect agency workers?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there is a supply chain. When a contractor is supplied through a recruitment agency, the agency is typically the "fee payer" in the IR35 chain. This means the agency — not you — pays the tax and NI deductions for inside IR35 engagements. However, you (the end client) are still responsible for issuing the SDS. If your SDS is wrong, liability can flow back to you. Understanding the supply chain is important when using agencies.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IR35 affect our ability to hire talented developers?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2021 reform significantly reduced the supply of available outside-IR35 contractors for medium and large businesses, as many experienced contractors opted out of inside-IR35 engagements rather than take the income tax hit. The most in-demand developers — senior engineers, architects, AI/ML specialists — have many options and can afford to be selective. ClickMasters' employment model sidesteps this problem entirely: our developers are employed, not contractors, so the IR35 question simply doesn't arise.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4"/>
        </w:numPr>
        <w:spacing w:after="60" w:before="60"/>
      </w:pPr>
      <w:r>
        <w:rPr>
          <w:rFonts w:ascii="Arial" w:cs="Arial" w:eastAsia="Arial" w:hAnsi="Arial"/>
          <w:b w:val="false"/>
          <w:bCs w:val="false"/>
          <w:color w:val="1A2332"/>
          <w:sz w:val="22"/>
          <w:szCs w:val="22"/>
        </w:rPr>
        <w:t xml:space="preserve">IR35 Status Determination UK: /ir35-status-determination/</w:t>
      </w:r>
    </w:p>
    <w:p>
      <w:pPr>
        <w:pStyle w:val="ListParagraph"/>
        <w:numPr>
          <w:ilvl w:val="0"/>
          <w:numId w:val="4"/>
        </w:numPr>
        <w:spacing w:after="60" w:before="60"/>
      </w:pPr>
      <w:r>
        <w:rPr>
          <w:rFonts w:ascii="Arial" w:cs="Arial" w:eastAsia="Arial" w:hAnsi="Arial"/>
          <w:b w:val="false"/>
          <w:bCs w:val="false"/>
          <w:color w:val="1A2332"/>
          <w:sz w:val="22"/>
          <w:szCs w:val="22"/>
        </w:rPr>
        <w:t xml:space="preserve">IR35 Compliant Staff Augmentation: /ir35-compliant-staff-augmentation/</w:t>
      </w:r>
    </w:p>
    <w:p>
      <w:pPr>
        <w:pStyle w:val="ListParagraph"/>
        <w:numPr>
          <w:ilvl w:val="0"/>
          <w:numId w:val="4"/>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4"/>
        </w:numPr>
        <w:spacing w:after="60" w:before="60"/>
      </w:pPr>
      <w:r>
        <w:rPr>
          <w:rFonts w:ascii="Arial" w:cs="Arial" w:eastAsia="Arial" w:hAnsi="Arial"/>
          <w:b w:val="false"/>
          <w:bCs w:val="false"/>
          <w:color w:val="1A2332"/>
          <w:sz w:val="22"/>
          <w:szCs w:val="22"/>
        </w:rPr>
        <w:t xml:space="preserve">Software Developer Salary UK: /software-developer-salary-uk-2025/</w:t>
      </w:r>
    </w:p>
    <w:p>
      <w:pPr>
        <w:pStyle w:val="ListParagraph"/>
        <w:numPr>
          <w:ilvl w:val="0"/>
          <w:numId w:val="4"/>
        </w:numPr>
        <w:spacing w:after="60" w:before="60"/>
      </w:pPr>
      <w:r>
        <w:rPr>
          <w:rFonts w:ascii="Arial" w:cs="Arial" w:eastAsia="Arial" w:hAnsi="Arial"/>
          <w:b w:val="false"/>
          <w:bCs w:val="false"/>
          <w:color w:val="1A2332"/>
          <w:sz w:val="22"/>
          <w:szCs w:val="22"/>
        </w:rPr>
        <w:t xml:space="preserve">Software Contractor Rates UK: /software-contractor-rates-uk/</w:t>
      </w:r>
    </w:p>
    <w:p>
      <w:pPr>
        <w:pStyle w:val="ListParagraph"/>
        <w:numPr>
          <w:ilvl w:val="0"/>
          <w:numId w:val="4"/>
        </w:numPr>
        <w:spacing w:after="60" w:before="60"/>
      </w:pPr>
      <w:r>
        <w:rPr>
          <w:rFonts w:ascii="Arial" w:cs="Arial" w:eastAsia="Arial" w:hAnsi="Arial"/>
          <w:b w:val="false"/>
          <w:bCs w:val="false"/>
          <w:color w:val="1A2332"/>
          <w:sz w:val="22"/>
          <w:szCs w:val="22"/>
        </w:rPr>
        <w:t xml:space="preserve">Hire Developers UK: /hire-developers/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Developers — IR35 Risk Eliminated</w:t>
            </w:r>
          </w:p>
          <w:p>
            <w:pPr>
              <w:spacing w:after="160" w:before="0"/>
            </w:pPr>
            <w:r>
              <w:rPr>
                <w:rFonts w:ascii="Arial" w:cs="Arial" w:eastAsia="Arial" w:hAnsi="Arial"/>
                <w:color w:val="BDD0E8"/>
                <w:sz w:val="22"/>
                <w:szCs w:val="22"/>
              </w:rPr>
              <w:t xml:space="preserve">ClickMasters developers are our employees. No SDS required. No IR35 liability. One monthly invoice. Book a free team-planning call.</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&amp; Compliance Team</w:t>
            </w:r>
          </w:p>
          <w:p>
            <w:pPr>
              <w:spacing w:after="80" w:before="0"/>
            </w:pPr>
            <w:r>
              <w:rPr>
                <w:rFonts w:ascii="Arial" w:cs="Arial" w:eastAsia="Arial" w:hAnsi="Arial"/>
                <w:b/>
                <w:bCs/>
                <w:color w:val="E8612A"/>
                <w:sz w:val="20"/>
                <w:szCs w:val="20"/>
              </w:rPr>
              <w:t xml:space="preserve">IR35 and employment law specialists — UK technology sector</w:t>
            </w:r>
          </w:p>
          <w:p>
            <w:pPr>
              <w:spacing w:after="0" w:before="0"/>
            </w:pPr>
            <w:r>
              <w:rPr>
                <w:rFonts w:ascii="Arial" w:cs="Arial" w:eastAsia="Arial" w:hAnsi="Arial"/>
                <w:color w:val="1A2332"/>
                <w:sz w:val="20"/>
                <w:szCs w:val="20"/>
              </w:rPr>
              <w:t xml:space="preserve">This guide has been reviewed by a UK employment law specialist. ClickMasters has structured our staff augmentation model specifically to eliminate IR35 liability for our clients. All engagements are reviewed annually to ensure ongoing compliance.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"ir35 software development uk" (500/mo), "ir35 explained uk" (5,000/mo), "off payroll working rules 2021"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2026-05-20T15:04:25.117Z</dcterms:created>
  <dcterms:modified xsi:type="dcterms:W3CDTF">2026-05-20T15:04:25.117Z</dcterms:modified>
</cp:coreProperties>
</file>

<file path=docProps/custom.xml><?xml version="1.0" encoding="utf-8"?>
<Properties xmlns="http://schemas.openxmlformats.org/officeDocument/2006/custom-properties" xmlns:vt="http://schemas.openxmlformats.org/officeDocument/2006/docPropsVTypes"/>
</file>