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How to Build a FinTech App in the UK — Complete Guide 2025 | ClickMasters
META DESC: Building a FinTech app in the UK takes 3–18 months depending on FCA authorisation requirements. The key steps: define your regulatory perimeter (what FCA-regula...
SLUG: /how-to-build-fintech-app-uk/
SCHEMA: HowTo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12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How to Build a FinTech App in the UK — Complete Guide 2025</w:t>
      </w:r>
    </w:p>
    <w:p>
      <w:pPr>
        <w:spacing w:after="60" w:before="60"/>
      </w:pPr>
    </w:p>
    <w:p>
      <w:pPr>
        <w:pStyle w:val="Heading1"/>
        <w:spacing w:after="160" w:before="360"/>
      </w:pPr>
      <w:r>
        <w:rPr>
          <w:rFonts w:ascii="Arial" w:cs="Arial" w:eastAsia="Arial" w:hAnsi="Arial"/>
          <w:b/>
          <w:bCs/>
          <w:color w:val="0B1F3A"/>
          <w:sz w:val="40"/>
          <w:szCs w:val="40"/>
        </w:rPr>
        <w:t xml:space="preserve">How to Build a FinTech App in the UK — From Idea to FCA-Aware Launch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UK-Focused Guide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Compliance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Step-by-Step</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Consultation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Building a FinTech app in the UK takes 3–18 months depending on FCA authorisation requirements. The key steps: define your regulatory perimeter (what FCA-regulated activities does your app involve?), obtain FCA authorisation (3–12 months if required), define your technical architecture with compliance built in, build with AML/KYC from Sprint 1, test with OWASP security and penetration testing, and launch with ongoing FCA Consumer Duty monitoring. Costs: £35,000–£250,000+ depending on complexity.</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Building a FinTech app in the UK is significantly more complex than building a standard web application. The FCA regulatory perimeter, PSD2 Strong Customer Authentication, Open Banking standards, AML/KYC requirements, and UK GDPR constraints all affect architecture decisions from day one. This guide walks you through the complete process — from initial idea to launch.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Step-by-Step 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Define Your Regulatory Perimeter (Week 1–2)</w:t>
            </w:r>
          </w:p>
          <w:p>
            <w:pPr>
              <w:spacing w:after="0" w:before="0"/>
            </w:pPr>
            <w:r>
              <w:rPr>
                <w:rFonts w:ascii="Arial" w:cs="Arial" w:eastAsia="Arial" w:hAnsi="Arial"/>
                <w:color w:val="1A2332"/>
                <w:sz w:val="22"/>
                <w:szCs w:val="22"/>
              </w:rPr>
              <w:t xml:space="preserve">Determine whether your app requires FCA authorisation. Regulated activities: AISP (account data access), PISP (payment initiation), e-money issuance, consumer credit, investment management. If you need authorisation, start the FCA application immediately — it takes 3–12 months and you cannot operate without it. For FinTech startups, consider the FCA Regulatory Sandbox for controlled testing with temporary authorisation.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Choose Your Architecture (Week 2–3)</w:t>
            </w:r>
          </w:p>
          <w:p>
            <w:pPr>
              <w:spacing w:after="0" w:before="0"/>
            </w:pPr>
            <w:r>
              <w:rPr>
                <w:rFonts w:ascii="Arial" w:cs="Arial" w:eastAsia="Arial" w:hAnsi="Arial"/>
                <w:color w:val="1A2332"/>
                <w:sz w:val="22"/>
                <w:szCs w:val="22"/>
              </w:rPr>
              <w:t xml:space="preserve">FCA-aware architecture decisions: use AWS eu-west-2 (London) or Azure UK South for UK GDPR data residency; design AML/KYC workflows with CDD/EDD triggers from the start; plan your PCI-DSS scope — use Stripe/Adyen hosted forms to avoid scope; implement audit logging for FCA Consumer Duty outcome monitoring; and design the SCA (Strong Customer Authentication) flow for any payment initiation.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Open Banking Integration Decision (Week 3)</w:t>
            </w:r>
          </w:p>
          <w:p>
            <w:pPr>
              <w:spacing w:after="0" w:before="0"/>
            </w:pPr>
            <w:r>
              <w:rPr>
                <w:rFonts w:ascii="Arial" w:cs="Arial" w:eastAsia="Arial" w:hAnsi="Arial"/>
                <w:color w:val="1A2332"/>
                <w:sz w:val="22"/>
                <w:szCs w:val="22"/>
              </w:rPr>
              <w:t xml:space="preserve">If your app needs bank account data (AISP) or payment initiation (PISP): decide between aggregator (TrueLayer, Plaid, Yapily — faster, no FCA licence needed by you) or direct OBIE API (requires FCA authorisation — 3–12 months). For most startups: aggregator first, direct API later when scale justifies 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Build Core with Compliance from Sprint 1 (Weeks 4–16+)</w:t>
            </w:r>
          </w:p>
          <w:p>
            <w:pPr>
              <w:spacing w:after="0" w:before="0"/>
            </w:pPr>
            <w:r>
              <w:rPr>
                <w:rFonts w:ascii="Arial" w:cs="Arial" w:eastAsia="Arial" w:hAnsi="Arial"/>
                <w:color w:val="1A2332"/>
                <w:sz w:val="22"/>
                <w:szCs w:val="22"/>
              </w:rPr>
              <w:t xml:space="preserve">Build in this priority order: authentication and user management (with SCA), AML/KYC onboarding (CDD/EDD, sanctions screening), core product feature, payment/data integration, Consumer Duty UX review (no dark patterns, transparent pricing), OWASP Top 10 security testing in CI/CD pipeline.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FCA Consumer Duty UX Review (Throughout Build)</w:t>
            </w:r>
          </w:p>
          <w:p>
            <w:pPr>
              <w:spacing w:after="0" w:before="0"/>
            </w:pPr>
            <w:r>
              <w:rPr>
                <w:rFonts w:ascii="Arial" w:cs="Arial" w:eastAsia="Arial" w:hAnsi="Arial"/>
                <w:color w:val="1A2332"/>
                <w:sz w:val="22"/>
                <w:szCs w:val="22"/>
              </w:rPr>
              <w:t xml:space="preserve">Review every user journey against Consumer Duty principles: no dark patterns, transparent pricing (all fees visible before commitment), vulnerable customer pathways identified and supported, outcome monitoring instrumented (you must be able to evidence good customer outcomes to FCA on request).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6</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Testing and Penetration Test (2 Weeks Pre-Launch)</w:t>
            </w:r>
          </w:p>
          <w:p>
            <w:pPr>
              <w:spacing w:after="0" w:before="0"/>
            </w:pPr>
            <w:r>
              <w:rPr>
                <w:rFonts w:ascii="Arial" w:cs="Arial" w:eastAsia="Arial" w:hAnsi="Arial"/>
                <w:color w:val="1A2332"/>
                <w:sz w:val="22"/>
                <w:szCs w:val="22"/>
              </w:rPr>
              <w:t xml:space="preserve">OWASP Top 10 security testing. CREST-certified penetration test if required by your FCA authorisation or investor due diligence. Cyber Essentials certification if supplying regulated firms. UK GDPR DPIA for high-risk processing.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7</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FCA Compliance Documentation (2 Weeks Pre-Launch)</w:t>
            </w:r>
          </w:p>
          <w:p>
            <w:pPr>
              <w:spacing w:after="0" w:before="0"/>
            </w:pPr>
            <w:r>
              <w:rPr>
                <w:rFonts w:ascii="Arial" w:cs="Arial" w:eastAsia="Arial" w:hAnsi="Arial"/>
                <w:color w:val="1A2332"/>
                <w:sz w:val="22"/>
                <w:szCs w:val="22"/>
              </w:rPr>
              <w:t xml:space="preserve">Prepare: Privacy Notice (UK GDPR compliant), Terms of Service (Consumer Contracts Regulations), FCA-required disclosures, complaints procedure (FOS referral), and Article 30 Records of Processing Activities. If FCA-authorised: ensure your FCA permissions reflect exactly what your app does.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8</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and Ongoing Consumer Duty Monitoring (Ongoing)</w:t>
            </w:r>
          </w:p>
          <w:p>
            <w:pPr>
              <w:spacing w:after="0" w:before="0"/>
            </w:pPr>
            <w:r>
              <w:rPr>
                <w:rFonts w:ascii="Arial" w:cs="Arial" w:eastAsia="Arial" w:hAnsi="Arial"/>
                <w:color w:val="1A2332"/>
                <w:sz w:val="22"/>
                <w:szCs w:val="22"/>
              </w:rPr>
              <w:t xml:space="preserve">Launch with monitoring instrumented to capture: outcome metrics (complaint rates, abandonment rates, product performance), vulnerable customer flag rates, and complaints data. Set calendar reminders for annual FCA Consumer Duty assessments. Keep your DPO/compliance team briefed on new features that may affect regulatory position.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it cost to build a FinTech app in the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£35,000–£80,000 for a FinTech MVP. £80,000–£250,000+ for a full FCA-authorised platform. The largest cost drivers: FCA authorisation legal fees (£10,000–£50,000+), AML/KYC integration complexity, Open Banking API integration, and Consumer Duty UX testing. R&amp;D Tax Credits may reduce effective development costs by up to 27%.</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I need FCA authorisation for my FinTech app?</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depends on your regulated activities. Required for: AISP/PISP (payment services), e-money issuance, consumer credit, investment management, insurance distribution. Not required for: providing analytics tools to regulated firms, building technology for regulated clients, providing information-only services. The FCA Perimeter Guidance (PERG) is the authoritative reference.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FCA authorisation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authorisation typically takes 6–12 months from application to approval. The FCA aims for 6 months but complex applications take longer. The FCA Regulatory Sandbox (for innovative firms) can provide temporary authorisation for testing. Start the authorisation process before you start building — you cannot operate without it.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FCA Software Compliance Guide: /fca-software-compliance-guide/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Open Banking Development Guide: /open-banking-development-guide/</w:t>
      </w:r>
    </w:p>
    <w:p>
      <w:pPr>
        <w:pStyle w:val="ListParagraph"/>
        <w:numPr>
          <w:ilvl w:val="0"/>
          <w:numId w:val="2"/>
        </w:numPr>
        <w:spacing w:after="60" w:before="60"/>
      </w:pPr>
      <w:r>
        <w:rPr>
          <w:rFonts w:ascii="Arial" w:cs="Arial" w:eastAsia="Arial" w:hAnsi="Arial"/>
          <w:b w:val="false"/>
          <w:bCs w:val="false"/>
          <w:color w:val="1A2332"/>
          <w:sz w:val="22"/>
          <w:szCs w:val="22"/>
        </w:rPr>
        <w:t xml:space="preserve">FinTech MVP Development UK: /fintech-mvp-development/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AML Compliance Software UK: /aml-compliance-software-uk/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Help Building This</w:t>
            </w:r>
          </w:p>
          <w:p>
            <w:pPr>
              <w:spacing w:after="160" w:before="0"/>
            </w:pPr>
            <w:r>
              <w:rPr>
                <w:rFonts w:ascii="Arial" w:cs="Arial" w:eastAsia="Arial" w:hAnsi="Arial"/>
                <w:color w:val="BDD0E8"/>
                <w:sz w:val="22"/>
                <w:szCs w:val="22"/>
              </w:rPr>
              <w:t xml:space="preserve">Book a free consultation with a ClickMasters specialist. We've built projects like this before.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How to Build a FinTech App in the UK specialists</w:t>
            </w:r>
          </w:p>
          <w:p>
            <w:pPr>
              <w:spacing w:after="0" w:before="0"/>
            </w:pPr>
            <w:r>
              <w:rPr>
                <w:rFonts w:ascii="Arial" w:cs="Arial" w:eastAsia="Arial" w:hAnsi="Arial"/>
                <w:color w:val="1A2332"/>
                <w:sz w:val="20"/>
                <w:szCs w:val="20"/>
              </w:rPr>
              <w:t xml:space="preserve">This guide reflects ClickMasters' direct experience building these systems for UK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HowTo + FAQPage + BreadcrumbList | "how to build a fintech app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2026-05-22T10:32:12.643Z</dcterms:created>
  <dcterms:modified xsi:type="dcterms:W3CDTF">2026-05-22T10:32:12.658Z</dcterms:modified>
</cp:coreProperties>
</file>

<file path=docProps/custom.xml><?xml version="1.0" encoding="utf-8"?>
<Properties xmlns="http://schemas.openxmlformats.org/officeDocument/2006/custom-properties" xmlns:vt="http://schemas.openxmlformats.org/officeDocument/2006/docPropsVTypes"/>
</file>