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Claims Automation Platform — UK Motor Insurer — ClickMasters Case Study
META DESC: A UK motor insurer processing 28,000 claims per year was spending 65% of claims handling time on repetitive da...
SLUG: /case-studies/insurtech-claims-automation-uk/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Claims Automation Platform — UK Motor Insurer</w:t>
      </w:r>
    </w:p>
    <w:p>
      <w:pPr>
        <w:spacing w:after="60" w:before="60"/>
      </w:pPr>
    </w:p>
    <w:p>
      <w:pPr>
        <w:pStyle w:val="Heading1"/>
        <w:spacing w:after="160" w:before="360"/>
      </w:pPr>
      <w:r>
        <w:rPr>
          <w:rFonts w:ascii="Arial" w:cs="Arial" w:eastAsia="Arial" w:hAnsi="Arial"/>
          <w:b/>
          <w:bCs/>
          <w:color w:val="0B1F3A"/>
          <w:sz w:val="40"/>
          <w:szCs w:val="40"/>
        </w:rPr>
        <w:t xml:space="preserve">InsurTech Claims Automation Platform — UK Motor Insurer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Claims Technology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Claims Technology | Tech: FastAPI, React, scikit-learn (ML), PostgreSQL, ABI MID API, DVLA VES API, GOV.UK Notify, Stripe, AWS eu-west-2, Terraform | Compliance: FCA Consumer Duty, UK GDPR Article 9, POCA 2002, Solvency II UK,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motor insurer processing 28,000 claims per year was spending 65% of claims handling time on repetitive data gathering (policy verification, DVLA vehicle checks, MID checks), manual correspondence, and straightforward settlement calculations for low-value claims under £2,500. FCA Consumer Duty required them to reduce the 34-day average settlement time for low-value claims (the FCA viewed this as a friction barrier to fair customer outcomes). Budget: £180,000.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Architecture: </w:t>
      </w:r>
      <w:r>
        <w:rPr>
          <w:rFonts w:ascii="Arial" w:cs="Arial" w:eastAsia="Arial" w:hAnsi="Arial"/>
          <w:b w:val="false"/>
          <w:bCs w:val="false"/>
          <w:i w:val="false"/>
          <w:iCs w:val="false"/>
          <w:color w:val="1A2332"/>
          <w:sz w:val="22"/>
          <w:szCs w:val="22"/>
        </w:rPr>
        <w:t xml:space="preserve">FastAPI backend, React frontend for claims handlers, PostgreSQL, AWS eu-west-2. Integration: ABI MID API (Motor Insurance Database), DVLA VES API (vehicle enquiry), GOV.UK Notify for customer correspondence, Stripe for direct settlement payments.</w:t>
      </w:r>
    </w:p>
    <w:p>
      <w:pPr>
        <w:spacing w:after="160" w:before="100"/>
      </w:pPr>
      <w:r>
        <w:rPr>
          <w:rFonts w:ascii="Arial" w:cs="Arial" w:eastAsia="Arial" w:hAnsi="Arial"/>
          <w:b/>
          <w:bCs/>
          <w:i w:val="false"/>
          <w:iCs w:val="false"/>
          <w:color w:val="E8612A"/>
          <w:sz w:val="22"/>
          <w:szCs w:val="22"/>
        </w:rPr>
        <w:t xml:space="preserve">AI Triage Engine: </w:t>
      </w:r>
      <w:r>
        <w:rPr>
          <w:rFonts w:ascii="Arial" w:cs="Arial" w:eastAsia="Arial" w:hAnsi="Arial"/>
          <w:b w:val="false"/>
          <w:bCs w:val="false"/>
          <w:i w:val="false"/>
          <w:iCs w:val="false"/>
          <w:color w:val="1A2332"/>
          <w:sz w:val="22"/>
          <w:szCs w:val="22"/>
        </w:rPr>
        <w:t xml:space="preserve">Custom ML model (scikit-learn, trained on 18 months of historical claims data) classifying claims: Straight-Through Processing (STP — fully automated settlement), Assisted (handler with AI recommendation), Manual (complex claims requiring full handler involvement). STP threshold: liability clear, damage under £2,500, no injury, clean MID and DVLA checks.</w:t>
      </w:r>
    </w:p>
    <w:p>
      <w:pPr>
        <w:spacing w:after="160" w:before="100"/>
      </w:pPr>
      <w:r>
        <w:rPr>
          <w:rFonts w:ascii="Arial" w:cs="Arial" w:eastAsia="Arial" w:hAnsi="Arial"/>
          <w:b/>
          <w:bCs/>
          <w:i w:val="false"/>
          <w:iCs w:val="false"/>
          <w:color w:val="E8612A"/>
          <w:sz w:val="22"/>
          <w:szCs w:val="22"/>
        </w:rPr>
        <w:t xml:space="preserve">FCA Consumer Duty Architecture: </w:t>
      </w:r>
      <w:r>
        <w:rPr>
          <w:rFonts w:ascii="Arial" w:cs="Arial" w:eastAsia="Arial" w:hAnsi="Arial"/>
          <w:b w:val="false"/>
          <w:bCs w:val="false"/>
          <w:i w:val="false"/>
          <w:iCs w:val="false"/>
          <w:color w:val="1A2332"/>
          <w:sz w:val="22"/>
          <w:szCs w:val="22"/>
        </w:rPr>
        <w:t xml:space="preserve">Outcome monitoring built into the platform: settlement time per claim type tracked, declined rate monitored for demographic patterns (FCA fair value assessment), customer satisfaction survey automated via GOV.UK Notify post-settlement. Dashboard providing FCA evidence of good customer outcomes.</w:t>
      </w:r>
    </w:p>
    <w:p>
      <w:pPr>
        <w:spacing w:after="160" w:before="100"/>
      </w:pPr>
      <w:r>
        <w:rPr>
          <w:rFonts w:ascii="Arial" w:cs="Arial" w:eastAsia="Arial" w:hAnsi="Arial"/>
          <w:b/>
          <w:bCs/>
          <w:i w:val="false"/>
          <w:iCs w:val="false"/>
          <w:color w:val="E8612A"/>
          <w:sz w:val="22"/>
          <w:szCs w:val="22"/>
        </w:rPr>
        <w:t xml:space="preserve">GDPR and AML for Claims: </w:t>
      </w:r>
      <w:r>
        <w:rPr>
          <w:rFonts w:ascii="Arial" w:cs="Arial" w:eastAsia="Arial" w:hAnsi="Arial"/>
          <w:b w:val="false"/>
          <w:bCs w:val="false"/>
          <w:i w:val="false"/>
          <w:iCs w:val="false"/>
          <w:color w:val="1A2332"/>
          <w:sz w:val="22"/>
          <w:szCs w:val="22"/>
        </w:rPr>
        <w:t xml:space="preserve">Claims data includes sensitive personal data (medical records for injury claims — Article 9 special category), vehicle ownership data, and financial data. Article 9 DPIA completed. Retention policy: 6 years for claims records (Limitation Act 1980). POCA 2002 fraud detection: suspicious claim patterns flagged for MLRO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STP rate at launch: 34% of eligible claims (target was 25%). Average settlement time for STP claims: 3.2 days (from 34 days). FCA Consumer Duty dashboard: 97% of STP claims rated "good outcome" by customers. Annual handler time savings: equivalent to 4.2 FTE, re-deployed to complex claims. £680,000 annual cost reduction projected at full implementation.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FCA Consumer Duty dashboard was something we hadn't been able to produce with any previous technology. We can now evidence good customer outcomes in the format the FCA expects. The 34-day to 3-day improvement speaks for itself." — Chief Claims Officer, UK Motor Insurer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FastAPI, React, scikit-learn (ML), PostgreSQL, ABI MID API, DVLA VES API, GOV.UK Notify, Stripe, AWS eu-west-2,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UK GDPR Article 9, POCA 2002, Solvency II UK,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insurtech software development uk, claims automation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2026-05-23T06:31:41.217Z</dcterms:created>
  <dcterms:modified xsi:type="dcterms:W3CDTF">2026-05-23T06:31:41.217Z</dcterms:modified>
</cp:coreProperties>
</file>

<file path=docProps/custom.xml><?xml version="1.0" encoding="utf-8"?>
<Properties xmlns="http://schemas.openxmlformats.org/officeDocument/2006/custom-properties" xmlns:vt="http://schemas.openxmlformats.org/officeDocument/2006/docPropsVTypes"/>
</file>