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FinTech Software Development London | ClickMasters
META DESC: FinTech software development in London. FCA. £35,000–£250,000+. UK-based team, FCA-aware architecture. Free consultation.
SLUG: /fintech-software-development-london/
SCHEMA: LocalBusiness + Service + FAQPage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London FinTech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FinTech Software Development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FinTech Software Development London</w:t>
      </w:r>
    </w:p>
    <w:p>
      <w:pPr>
        <w:spacing w:after="60" w:before="60"/>
      </w:pPr>
    </w:p>
    <w:p>
      <w:pPr>
        <w:pStyle w:val="Heading1"/>
        <w:spacing w:after="160" w:before="360"/>
      </w:pPr>
      <w:r>
        <w:rPr>
          <w:rFonts w:ascii="Arial" w:cs="Arial" w:eastAsia="Arial" w:hAnsi="Arial"/>
          <w:b/>
          <w:bCs/>
          <w:color w:val="0B1F3A"/>
          <w:sz w:val="40"/>
          <w:szCs w:val="40"/>
        </w:rPr>
        <w:t xml:space="preserve">FinTech Software Development London — FCA, Transparent 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London</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FinTech Specialists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£35,000–£250,000+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 Team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FinTech software development in London and the wider UK with FCA,  Consumer Duty compliance built into every project from the architecture phase. London FinTech clients benefit from our Silicon Roundabout proximity, FCA/NHS/GDS regulatory expertise, and transparent GBP pricing from £35,000.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London FinTech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London is the world's second-largest FinTech hub after San Francisco — home to 2,500+ FinTech companies, the FCA Regulatory Sandbox, and the highest concentration of FinTech investment capital outside the US. Silicon Roundabout (Old Street/Shoreditch), Canary Wharf (traditional banking tech), and the City of London (capital markets technology) form three distinct FinTech clusters. ClickMasters has delivered FCA-aware FinTech software for London-based startups, scale-ups, and enterprise teams.</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FCA-aware architecture: Consumer Duty UX compliance, audit trails for FCA reporting, operational resilience (PS21/3) design.</w:t>
      </w:r>
    </w:p>
    <w:p>
      <w:pPr>
        <w:pStyle w:val="ListParagraph"/>
        <w:numPr>
          <w:ilvl w:val="0"/>
          <w:numId w:val="2"/>
        </w:numPr>
        <w:spacing w:after="60" w:before="60"/>
      </w:pPr>
      <w:r>
        <w:rPr>
          <w:rFonts w:ascii="Arial" w:cs="Arial" w:eastAsia="Arial" w:hAnsi="Arial"/>
          <w:b w:val="false"/>
          <w:bCs w:val="false"/>
          <w:color w:val="1A2332"/>
          <w:sz w:val="22"/>
          <w:szCs w:val="22"/>
        </w:rPr>
        <w:t xml:space="preserve">Open Banking (OBIE): TrueLayer/Yapily integration, AISP/PISP flows, consent management, SCA.</w:t>
      </w:r>
    </w:p>
    <w:p>
      <w:pPr>
        <w:pStyle w:val="ListParagraph"/>
        <w:numPr>
          <w:ilvl w:val="0"/>
          <w:numId w:val="2"/>
        </w:numPr>
        <w:spacing w:after="60" w:before="60"/>
      </w:pPr>
      <w:r>
        <w:rPr>
          <w:rFonts w:ascii="Arial" w:cs="Arial" w:eastAsia="Arial" w:hAnsi="Arial"/>
          <w:b w:val="false"/>
          <w:bCs w:val="false"/>
          <w:color w:val="1A2332"/>
          <w:sz w:val="22"/>
          <w:szCs w:val="22"/>
        </w:rPr>
        <w:t xml:space="preserve">AML/KYC: CDD/EDD workflow, MLRO escalation, sanctions screening (OFSI/HMT lists).</w:t>
      </w:r>
    </w:p>
    <w:p>
      <w:pPr>
        <w:pStyle w:val="ListParagraph"/>
        <w:numPr>
          <w:ilvl w:val="0"/>
          <w:numId w:val="2"/>
        </w:numPr>
        <w:spacing w:after="60" w:before="60"/>
      </w:pPr>
      <w:r>
        <w:rPr>
          <w:rFonts w:ascii="Arial" w:cs="Arial" w:eastAsia="Arial" w:hAnsi="Arial"/>
          <w:b w:val="false"/>
          <w:bCs w:val="false"/>
          <w:color w:val="1A2332"/>
          <w:sz w:val="22"/>
          <w:szCs w:val="22"/>
        </w:rPr>
        <w:t xml:space="preserve">PCI-DSS scope management: Stripe Elements, hosted payment forms, SAQ-A scope reduction.</w:t>
      </w:r>
    </w:p>
    <w:p>
      <w:pPr>
        <w:pStyle w:val="ListParagraph"/>
        <w:numPr>
          <w:ilvl w:val="0"/>
          <w:numId w:val="2"/>
        </w:numPr>
        <w:spacing w:after="60" w:before="60"/>
      </w:pPr>
      <w:r>
        <w:rPr>
          <w:rFonts w:ascii="Arial" w:cs="Arial" w:eastAsia="Arial" w:hAnsi="Arial"/>
          <w:b w:val="false"/>
          <w:bCs w:val="false"/>
          <w:color w:val="1A2332"/>
          <w:sz w:val="22"/>
          <w:szCs w:val="22"/>
        </w:rPr>
        <w:t xml:space="preserve">FCA Sandbox support: technical evidence packs, Sandbox application technical appendix.</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FinTech Software Development London —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Free Consultation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scoping and requirements review</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Technical 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Specification + fixed-price proposal</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FinTech Platform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build with FCA compliance</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£35,000–£250,000+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Support</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 maintenance retainer</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UK Compliance: FCA, Consumer Duty, PSD2, AML, PCI-DSS, UK GDPR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R&amp;D Tax Credits: Most qualifying software projects eligible for up to 27% HMRC relief. ClickMasters documents qualifying activities as standard.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makes FinTech software development in London different?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London FinTech software requires FCA regulatory expertise from day one — not as a compliance retrofit. FCA Consumer Duty (2023) requires UX that evidences good customer outcomes. Open Banking mandates OBIE API standards. AML/KYC is mandatory for most financial activities. ClickMasters's London FinTech team understands these requirements as first-class architectural constraints, not compliance tasks to be bolted on after development.</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FinTech software development cost in London?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FinTech MVP: £35,000–£80,000. Full FCA platform: £80,000–£250,000+. London rates are broadly the same as ClickMasters' UK-wide rates — we serve London clients remotely and on-site, with transparent GBP pricing regardless of location.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FinTech Software Development UK: /fintech-software-development/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FCA Software Compliance Guide: /fca-software-compliance-guide/</w:t>
      </w:r>
    </w:p>
    <w:p>
      <w:pPr>
        <w:pStyle w:val="ListParagraph"/>
        <w:numPr>
          <w:ilvl w:val="0"/>
          <w:numId w:val="3"/>
        </w:numPr>
        <w:spacing w:after="60" w:before="60"/>
      </w:pPr>
      <w:r>
        <w:rPr>
          <w:rFonts w:ascii="Arial" w:cs="Arial" w:eastAsia="Arial" w:hAnsi="Arial"/>
          <w:b w:val="false"/>
          <w:bCs w:val="false"/>
          <w:color w:val="1A2332"/>
          <w:sz w:val="22"/>
          <w:szCs w:val="22"/>
        </w:rPr>
        <w:t xml:space="preserve">Open Banking Development UK: /open-banking-development-guide/</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London: /custom-software-development-london/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FinTech Software Consultation — London</w:t>
            </w:r>
          </w:p>
          <w:p>
            <w:pPr>
              <w:spacing w:after="160" w:before="0"/>
            </w:pPr>
            <w:r>
              <w:rPr>
                <w:rFonts w:ascii="Arial" w:cs="Arial" w:eastAsia="Arial" w:hAnsi="Arial"/>
                <w:color w:val="BDD0E8"/>
                <w:sz w:val="22"/>
                <w:szCs w:val="22"/>
              </w:rPr>
              <w:t xml:space="preserve">45 minutes with a senior FinTech engineer. Scope, pricing, compliance roadmap — free.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London FinTech Team</w:t>
            </w:r>
          </w:p>
          <w:p>
            <w:pPr>
              <w:spacing w:after="80" w:before="0"/>
            </w:pPr>
            <w:r>
              <w:rPr>
                <w:rFonts w:ascii="Arial" w:cs="Arial" w:eastAsia="Arial" w:hAnsi="Arial"/>
                <w:b/>
                <w:bCs/>
                <w:color w:val="E8612A"/>
                <w:sz w:val="20"/>
                <w:szCs w:val="20"/>
              </w:rPr>
              <w:t xml:space="preserve">FinTech software specialists — FCA,  Consumer Duty</w:t>
            </w:r>
          </w:p>
          <w:p>
            <w:pPr>
              <w:spacing w:after="0" w:before="0"/>
            </w:pPr>
            <w:r>
              <w:rPr>
                <w:rFonts w:ascii="Arial" w:cs="Arial" w:eastAsia="Arial" w:hAnsi="Arial"/>
                <w:color w:val="1A2332"/>
                <w:sz w:val="20"/>
                <w:szCs w:val="20"/>
              </w:rPr>
              <w:t xml:space="preserve">ClickMasters has delivered FinTech software for London and UK businesses with full compliance architecture from day one.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"fintech software development london"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2026-05-23T06:51:31.526Z</dcterms:created>
  <dcterms:modified xsi:type="dcterms:W3CDTF">2026-05-23T06:51:31.541Z</dcterms:modified>
</cp:coreProperties>
</file>

<file path=docProps/custom.xml><?xml version="1.0" encoding="utf-8"?>
<Properties xmlns="http://schemas.openxmlformats.org/officeDocument/2006/custom-properties" xmlns:vt="http://schemas.openxmlformats.org/officeDocument/2006/docPropsVTypes"/>
</file>