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LegalTech Software Development London | ClickMasters
META DESC: LegalTech software development in London. SRA Compliance. £30,000–£200,000+. UK-based team, FCA-aware architecture. Free consultation.
SLUG: /legaltech-software-development-london/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London LegalTech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LegalTech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LegalTech Software Development London</w:t>
      </w:r>
    </w:p>
    <w:p>
      <w:pPr>
        <w:spacing w:after="60" w:before="60"/>
      </w:pPr>
    </w:p>
    <w:p>
      <w:pPr>
        <w:pStyle w:val="Heading1"/>
        <w:spacing w:after="160" w:before="360"/>
      </w:pPr>
      <w:r>
        <w:rPr>
          <w:rFonts w:ascii="Arial" w:cs="Arial" w:eastAsia="Arial" w:hAnsi="Arial"/>
          <w:b/>
          <w:bCs/>
          <w:color w:val="0B1F3A"/>
          <w:sz w:val="40"/>
          <w:szCs w:val="40"/>
        </w:rPr>
        <w:t xml:space="preserve">LegalTech Software Development London — SRA Compliance,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LegalTech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LegalTech software development in London and the wider UK with SRA Compliance,  Legal Professional Privilege compliance built into every project from the architecture phase. London LegalTech clients benefit from our Silicon Roundabout proximity, FCA/NHS/GDS regulatory expertise, and transparent GBP pricing from £30,000.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London LegalTech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London is the global centre of the legal industry — home to Magic Circle law firms (Clifford Chance, Freshfields, Allen &amp; Overy, Linklaters, Slaughter and May), US Big Law London offices, and a rapidly growing LegalTech startup ecosystem. Chancery Lane, the City, and the Inns of Court cluster make London the most significant legal technology market in Europe. ClickMasters builds LegalTech software for London law firms, barristers' chambers, and LegalTech startups.</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SRA-aware architecture: conflict checks, CDD, matter management with appropriate access controls, audit trails.</w:t>
      </w:r>
    </w:p>
    <w:p>
      <w:pPr>
        <w:pStyle w:val="ListParagraph"/>
        <w:numPr>
          <w:ilvl w:val="0"/>
          <w:numId w:val="2"/>
        </w:numPr>
        <w:spacing w:after="60" w:before="60"/>
      </w:pPr>
      <w:r>
        <w:rPr>
          <w:rFonts w:ascii="Arial" w:cs="Arial" w:eastAsia="Arial" w:hAnsi="Arial"/>
          <w:b w:val="false"/>
          <w:bCs w:val="false"/>
          <w:color w:val="1A2332"/>
          <w:sz w:val="22"/>
          <w:szCs w:val="22"/>
        </w:rPr>
        <w:t xml:space="preserve">Legal Professional Privilege (LPP) data architecture: privilege tagging, SAR screening, access controls.</w:t>
      </w:r>
    </w:p>
    <w:p>
      <w:pPr>
        <w:pStyle w:val="ListParagraph"/>
        <w:numPr>
          <w:ilvl w:val="0"/>
          <w:numId w:val="2"/>
        </w:numPr>
        <w:spacing w:after="60" w:before="60"/>
      </w:pPr>
      <w:r>
        <w:rPr>
          <w:rFonts w:ascii="Arial" w:cs="Arial" w:eastAsia="Arial" w:hAnsi="Arial"/>
          <w:b w:val="false"/>
          <w:bCs w:val="false"/>
          <w:color w:val="1A2332"/>
          <w:sz w:val="22"/>
          <w:szCs w:val="22"/>
        </w:rPr>
        <w:t xml:space="preserve">AML for London law firms: MLRs 2017, CDD/EDD, MLRO escalation, POCA 2002 tipping-off awareness.</w:t>
      </w:r>
    </w:p>
    <w:p>
      <w:pPr>
        <w:pStyle w:val="ListParagraph"/>
        <w:numPr>
          <w:ilvl w:val="0"/>
          <w:numId w:val="2"/>
        </w:numPr>
        <w:spacing w:after="60" w:before="60"/>
      </w:pPr>
      <w:r>
        <w:rPr>
          <w:rFonts w:ascii="Arial" w:cs="Arial" w:eastAsia="Arial" w:hAnsi="Arial"/>
          <w:b w:val="false"/>
          <w:bCs w:val="false"/>
          <w:color w:val="1A2332"/>
          <w:sz w:val="22"/>
          <w:szCs w:val="22"/>
        </w:rPr>
        <w:t xml:space="preserve">Law Society AI ethics: explainability, human oversight, training data governance.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LegalTech Software Development London —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 review</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Specification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LegalTech Platform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SRA Compliance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SRA Compliance, Legal Professional Privilege, AML (MLRs 2017), UK GDPR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qualifying software projects eligible for up to 27% HMRC relief. ClickMasters documents qualifying activities as standard.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London law firms have specific software requirements?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UK law firms are SRA-regulated (Solicitors Regulation Authority, based in London). SRA requires: conflict checking capability, client due diligence, matter record retention, and client money segregation. London Magic Circle and Silver Circle firms also require: enterprise SSO (Microsoft 365/Azure AD), ISO 27001 or Cyber Essentials Plus security posture, and formal vendor due diligence before supply.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is LegalTech AI regulated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Law Society has issued guidance on responsible AI in legal services (relevant to all London law firms using AI tools). Key requirements: AI outputs reviewed by qualified lawyers, training data must not include privileged client communications, AI decisions must be explainable, and professional liability for AI-assisted advice rests with the supervising lawyer.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LegalTech Software Development UK: /legaltech-software-development/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AML Compliance Software UK: /aml-compliance-software-uk/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LegalTech Software Consultation — London</w:t>
            </w:r>
          </w:p>
          <w:p>
            <w:pPr>
              <w:spacing w:after="160" w:before="0"/>
            </w:pPr>
            <w:r>
              <w:rPr>
                <w:rFonts w:ascii="Arial" w:cs="Arial" w:eastAsia="Arial" w:hAnsi="Arial"/>
                <w:color w:val="BDD0E8"/>
                <w:sz w:val="22"/>
                <w:szCs w:val="22"/>
              </w:rPr>
              <w:t xml:space="preserve">45 minutes with a senior LegalTech engineer. Scope, pricing, compliance roadmap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London LegalTech Team</w:t>
            </w:r>
          </w:p>
          <w:p>
            <w:pPr>
              <w:spacing w:after="80" w:before="0"/>
            </w:pPr>
            <w:r>
              <w:rPr>
                <w:rFonts w:ascii="Arial" w:cs="Arial" w:eastAsia="Arial" w:hAnsi="Arial"/>
                <w:b/>
                <w:bCs/>
                <w:color w:val="E8612A"/>
                <w:sz w:val="20"/>
                <w:szCs w:val="20"/>
              </w:rPr>
              <w:t xml:space="preserve">LegalTech software specialists — SRA Compliance,  Legal Professional Privilege</w:t>
            </w:r>
          </w:p>
          <w:p>
            <w:pPr>
              <w:spacing w:after="0" w:before="0"/>
            </w:pPr>
            <w:r>
              <w:rPr>
                <w:rFonts w:ascii="Arial" w:cs="Arial" w:eastAsia="Arial" w:hAnsi="Arial"/>
                <w:color w:val="1A2332"/>
                <w:sz w:val="20"/>
                <w:szCs w:val="20"/>
              </w:rPr>
              <w:t xml:space="preserve">ClickMasters has delivered LegalTech software for London and UK businesses with full compliance architecture from day one.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"legaltech software development london" (~200/mo)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2026-05-23T06:51:32.040Z</dcterms:created>
  <dcterms:modified xsi:type="dcterms:W3CDTF">2026-05-23T06:51:32.040Z</dcterms:modified>
</cp:coreProperties>
</file>

<file path=docProps/custom.xml><?xml version="1.0" encoding="utf-8"?>
<Properties xmlns="http://schemas.openxmlformats.org/officeDocument/2006/custom-properties" xmlns:vt="http://schemas.openxmlformats.org/officeDocument/2006/docPropsVTypes"/>
</file>