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Data Subject Access Request? UK Definition | ClickMasters
META DESC: Data Subject Access Request explained. A Data Subject Access Request (DSAR or SAR) is a request from an individual (the data subject) to an organisat...
SLUG: /glossary/dsar-definition/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Data Subject Access Request?</w:t>
      </w:r>
    </w:p>
    <w:p>
      <w:pPr>
        <w:spacing w:after="60" w:before="60"/>
      </w:pPr>
    </w:p>
    <w:p>
      <w:pPr>
        <w:pStyle w:val="Heading1"/>
        <w:spacing w:after="160" w:before="360"/>
      </w:pPr>
      <w:r>
        <w:rPr>
          <w:rFonts w:ascii="Arial" w:cs="Arial" w:eastAsia="Arial" w:hAnsi="Arial"/>
          <w:b/>
          <w:bCs/>
          <w:color w:val="0B1F3A"/>
          <w:sz w:val="40"/>
          <w:szCs w:val="40"/>
        </w:rPr>
        <w:t xml:space="preserve">What is Data Subject Access Request?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Data Subject Access Request (DSAR or SAR) is a request from an individual (the data subject) to an organisation to receive a copy of all personal data the organisation holds about them. Under UK GDPR Article 15, organisations must respond to DSARs within one calendar month (extendable to three months for complex requests),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Subject Access Request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DSARs are a significant operational burden for UK software businesses — and a legal obligation. Software must technically support DSARs: a mechanism to compile all personal data for a specific user across all tables and services, export in a portable format (JSON, CSV), and redact third-party data from the response. Common challenges: microservices architectures where personal data is scattered across 15+ services, caches containing personal data that must be included, and LPP (Legal Professional Privilege) screening for legal sector software. ClickMasters implements DSAR response capabilities as a standard technical requirement on all projects processing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Right to Access: </w:t>
      </w:r>
      <w:r>
        <w:rPr>
          <w:rFonts w:ascii="Arial" w:cs="Arial" w:eastAsia="Arial" w:hAnsi="Arial"/>
          <w:b w:val="false"/>
          <w:bCs w:val="false"/>
          <w:i w:val="false"/>
          <w:iCs w:val="false"/>
          <w:color w:val="1A2332"/>
          <w:sz w:val="22"/>
          <w:szCs w:val="22"/>
        </w:rPr>
        <w:t xml:space="preserve">UK GDPR Article 15 — the right to receive a copy of personal data.</w:t>
      </w:r>
    </w:p>
    <w:p>
      <w:pPr>
        <w:spacing w:after="160" w:before="100"/>
      </w:pPr>
      <w:r>
        <w:rPr>
          <w:rFonts w:ascii="Arial" w:cs="Arial" w:eastAsia="Arial" w:hAnsi="Arial"/>
          <w:b/>
          <w:bCs/>
          <w:i w:val="false"/>
          <w:iCs w:val="false"/>
          <w:color w:val="0B1F3A"/>
          <w:sz w:val="22"/>
          <w:szCs w:val="22"/>
        </w:rPr>
        <w:t xml:space="preserve">Right to Erasure: </w:t>
      </w:r>
      <w:r>
        <w:rPr>
          <w:rFonts w:ascii="Arial" w:cs="Arial" w:eastAsia="Arial" w:hAnsi="Arial"/>
          <w:b w:val="false"/>
          <w:bCs w:val="false"/>
          <w:i w:val="false"/>
          <w:iCs w:val="false"/>
          <w:color w:val="1A2332"/>
          <w:sz w:val="22"/>
          <w:szCs w:val="22"/>
        </w:rPr>
        <w:t xml:space="preserve">UK GDPR Article 17 — related right to delete personal data.</w:t>
      </w:r>
    </w:p>
    <w:p>
      <w:pPr>
        <w:spacing w:after="160" w:before="100"/>
      </w:pPr>
      <w:r>
        <w:rPr>
          <w:rFonts w:ascii="Arial" w:cs="Arial" w:eastAsia="Arial" w:hAnsi="Arial"/>
          <w:b/>
          <w:bCs/>
          <w:i w:val="false"/>
          <w:iCs w:val="false"/>
          <w:color w:val="0B1F3A"/>
          <w:sz w:val="22"/>
          <w:szCs w:val="22"/>
        </w:rPr>
        <w:t xml:space="preserve">Data Portability: </w:t>
      </w:r>
      <w:r>
        <w:rPr>
          <w:rFonts w:ascii="Arial" w:cs="Arial" w:eastAsia="Arial" w:hAnsi="Arial"/>
          <w:b w:val="false"/>
          <w:bCs w:val="false"/>
          <w:i w:val="false"/>
          <w:iCs w:val="false"/>
          <w:color w:val="1A2332"/>
          <w:sz w:val="22"/>
          <w:szCs w:val="22"/>
        </w:rPr>
        <w:t xml:space="preserve">UK GDPR Article 20 — right to receive data in machine-readable format.</w:t>
      </w:r>
    </w:p>
    <w:p>
      <w:pPr>
        <w:spacing w:after="160" w:before="100"/>
      </w:pPr>
      <w:r>
        <w:rPr>
          <w:rFonts w:ascii="Arial" w:cs="Arial" w:eastAsia="Arial" w:hAnsi="Arial"/>
          <w:b/>
          <w:bCs/>
          <w:i w:val="false"/>
          <w:iCs w:val="false"/>
          <w:color w:val="0B1F3A"/>
          <w:sz w:val="22"/>
          <w:szCs w:val="22"/>
        </w:rPr>
        <w:t xml:space="preserve">ICO: </w:t>
      </w:r>
      <w:r>
        <w:rPr>
          <w:rFonts w:ascii="Arial" w:cs="Arial" w:eastAsia="Arial" w:hAnsi="Arial"/>
          <w:b w:val="false"/>
          <w:bCs w:val="false"/>
          <w:i w:val="false"/>
          <w:iCs w:val="false"/>
          <w:color w:val="1A2332"/>
          <w:sz w:val="22"/>
          <w:szCs w:val="22"/>
        </w:rPr>
        <w:t xml:space="preserve">Information Commissioner's Office — enforces UK GDPR DSAR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Data Subject Access Request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data subject access request"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2026-05-23T06:51:32.820Z</dcterms:created>
  <dcterms:modified xsi:type="dcterms:W3CDTF">2026-05-23T06:51:32.820Z</dcterms:modified>
</cp:coreProperties>
</file>

<file path=docProps/custom.xml><?xml version="1.0" encoding="utf-8"?>
<Properties xmlns="http://schemas.openxmlformats.org/officeDocument/2006/custom-properties" xmlns:vt="http://schemas.openxmlformats.org/officeDocument/2006/docPropsVTypes"/>
</file>