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HealthTech Software Development Manchester | ClickMasters
META DESC: HealthTech software development in Manchester. DTAC. £25,000–£200,000+. UK-based team. Free consultation.
SLUG: /healthtech-software-development-manchester/
SCHEMA: LocalBusiness + Service + FAQPage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9 min  |  Written by: ClickMasters Manchester HealthTech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HealthTech Software Development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HealthTech Software Development Manchester</w:t>
      </w:r>
    </w:p>
    <w:p>
      <w:pPr>
        <w:spacing w:after="60" w:before="60"/>
      </w:pPr>
    </w:p>
    <w:p>
      <w:pPr>
        <w:pStyle w:val="Heading1"/>
        <w:spacing w:after="160" w:before="360"/>
      </w:pPr>
      <w:r>
        <w:rPr>
          <w:rFonts w:ascii="Arial" w:cs="Arial" w:eastAsia="Arial" w:hAnsi="Arial"/>
          <w:b/>
          <w:bCs/>
          <w:color w:val="0B1F3A"/>
          <w:sz w:val="40"/>
          <w:szCs w:val="40"/>
        </w:rPr>
        <w:t xml:space="preserve">HealthTech Software Development Manchester — DTAC, Transparent GBP Pricing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Manchester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HealthTech Specialists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£25,000–£200,000+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HealthTech software development in Manchester and North West England with DTAC,  DSP Toolkit compliance built in from the architecture phase. Manchester HealthTech clients benefit from our specialist regulatory expertise and transparent GBP pricing from £25,000.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Manchester HealthTech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Manchester is the UK's most important regional tech hub — MediaCityUK, Spinningfields, and Northern Quarter form a thriving ecosystem. Manchester Hospitals (NHS Foundation Trust) and the Manchester University NHS FT are major HealthTech commissioners.</w:t>
      </w:r>
    </w:p>
    <w:p>
      <w:pPr>
        <w:spacing w:after="60" w:before="60"/>
      </w:pPr>
    </w:p>
    <w:p>
      <w:pPr>
        <w:spacing w:after="160" w:before="100"/>
      </w:pPr>
      <w:r>
        <w:rPr>
          <w:rFonts w:ascii="Arial" w:cs="Arial" w:eastAsia="Arial" w:hAnsi="Arial"/>
          <w:b w:val="false"/>
          <w:bCs w:val="false"/>
          <w:i w:val="false"/>
          <w:iCs w:val="false"/>
          <w:color w:val="1A2332"/>
          <w:sz w:val="22"/>
          <w:szCs w:val="22"/>
        </w:rPr>
        <w:t xml:space="preserve">Manchester University NHS Foundation Trust is one of the UK's largest NHS Trusts and a major commissioner of digital health technology. The Manchester Academic Health Science Centre (MAHSC) brings together clinical and research expertise that drives HealthTech innovation. Salford Royal NHS FT and Pennine Acute Hospitals NHS Trust are also significant HealthTech commissioners in Greater Manchester.</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DTAC all 5 domains: Clinical Safety, Data Protection, Technical Security, Interoperability, Usability.</w:t>
      </w:r>
    </w:p>
    <w:p>
      <w:pPr>
        <w:pStyle w:val="ListParagraph"/>
        <w:numPr>
          <w:ilvl w:val="0"/>
          <w:numId w:val="2"/>
        </w:numPr>
        <w:spacing w:after="60" w:before="60"/>
      </w:pPr>
      <w:r>
        <w:rPr>
          <w:rFonts w:ascii="Arial" w:cs="Arial" w:eastAsia="Arial" w:hAnsi="Arial"/>
          <w:b w:val="false"/>
          <w:bCs w:val="false"/>
          <w:color w:val="1A2332"/>
          <w:sz w:val="22"/>
          <w:szCs w:val="22"/>
        </w:rPr>
        <w:t xml:space="preserve">NHS Manchester APIs: NHS Login, GP Connect, NHS Spine PDS integration.</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Article 9 special category health data architecture.</w:t>
      </w:r>
    </w:p>
    <w:p>
      <w:pPr>
        <w:pStyle w:val="ListParagraph"/>
        <w:numPr>
          <w:ilvl w:val="0"/>
          <w:numId w:val="2"/>
        </w:numPr>
        <w:spacing w:after="60" w:before="60"/>
      </w:pPr>
      <w:r>
        <w:rPr>
          <w:rFonts w:ascii="Arial" w:cs="Arial" w:eastAsia="Arial" w:hAnsi="Arial"/>
          <w:b w:val="false"/>
          <w:bCs w:val="false"/>
          <w:color w:val="1A2332"/>
          <w:sz w:val="22"/>
          <w:szCs w:val="22"/>
        </w:rPr>
        <w:t xml:space="preserve">Manchester University NHS FT: specific procurement requirements understood.</w:t>
      </w:r>
    </w:p>
    <w:p>
      <w:pPr>
        <w:pStyle w:val="ListParagraph"/>
        <w:numPr>
          <w:ilvl w:val="0"/>
          <w:numId w:val="2"/>
        </w:numPr>
        <w:spacing w:after="60" w:before="60"/>
      </w:pPr>
      <w:r>
        <w:rPr>
          <w:rFonts w:ascii="Arial" w:cs="Arial" w:eastAsia="Arial" w:hAnsi="Arial"/>
          <w:b w:val="false"/>
          <w:bCs w:val="false"/>
          <w:color w:val="1A2332"/>
          <w:sz w:val="22"/>
          <w:szCs w:val="22"/>
        </w:rPr>
        <w:t xml:space="preserve">DTAC remediation support for failed submissions.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HealthTech Software Development Manchester —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Free Consultation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Initial scoping and requirements review</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Technical 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Specification + fixed-price proposal</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HealthTech Build</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build with DTAC compliance</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£25,000–£200,000+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Support</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Post-launch maintenance retainer</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UK Compliance: DTAC, DSP Toolkit, UK GDPR Article 9, Cyber Essentials Plus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R&amp;D Tax Credits: Most qualifying software projects eligible for up to 27% HMRC relief.</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HealthTech opportunities are there in Manchester?</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Manchester has significant NHS HealthTech investment — the Greater Manchester Combined Authority (GMCA) and NHS Greater Manchester ICB (Integrated Care Board) both have active digital transformation programmes. Manchester-based HealthTechs can benefit from proximity to large NHS Trust pilot partners.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understand NHS Greater Manchester procurement?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has worked with HealthTech companies serving NHS Greater Manchester. We understand NHS ICB procurement processes, DTAC requirements, and the specific data governance requirements for the Greater Manchester Care Record.</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HealthTech Software Development UK: /healthtech-software-development/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DTAC Compliance Guide UK: /dtac-compliance-guide/</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Manchester: /custom-software-development-manchester/</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HealthTech Software Consultation — Manchester</w:t>
            </w:r>
          </w:p>
          <w:p>
            <w:pPr>
              <w:spacing w:after="160" w:before="0"/>
            </w:pPr>
            <w:r>
              <w:rPr>
                <w:rFonts w:ascii="Arial" w:cs="Arial" w:eastAsia="Arial" w:hAnsi="Arial"/>
                <w:color w:val="BDD0E8"/>
                <w:sz w:val="22"/>
                <w:szCs w:val="22"/>
              </w:rPr>
              <w:t xml:space="preserve">45 minutes with a senior HealthTech engineer. Scope, pricing, compliance roadmap — free.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Manchester HealthTech Team</w:t>
            </w:r>
          </w:p>
          <w:p>
            <w:pPr>
              <w:spacing w:after="80" w:before="0"/>
            </w:pPr>
            <w:r>
              <w:rPr>
                <w:rFonts w:ascii="Arial" w:cs="Arial" w:eastAsia="Arial" w:hAnsi="Arial"/>
                <w:b/>
                <w:bCs/>
                <w:color w:val="E8612A"/>
                <w:sz w:val="20"/>
                <w:szCs w:val="20"/>
              </w:rPr>
              <w:t xml:space="preserve">HealthTech software specialists — DTAC,  DSP Toolkit</w:t>
            </w:r>
          </w:p>
          <w:p>
            <w:pPr>
              <w:spacing w:after="0" w:before="0"/>
            </w:pPr>
            <w:r>
              <w:rPr>
                <w:rFonts w:ascii="Arial" w:cs="Arial" w:eastAsia="Arial" w:hAnsi="Arial"/>
                <w:color w:val="1A2332"/>
                <w:sz w:val="20"/>
                <w:szCs w:val="20"/>
              </w:rPr>
              <w:t xml:space="preserve">ClickMasters delivers HealthTech software for Manchester and North West England businesses with full compliance architecture.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"healthtech software development manchester" (~100/mo)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2026-05-23T10:56:26.406Z</dcterms:created>
  <dcterms:modified xsi:type="dcterms:W3CDTF">2026-05-23T10:56:26.406Z</dcterms:modified>
</cp:coreProperties>
</file>

<file path=docProps/custom.xml><?xml version="1.0" encoding="utf-8"?>
<Properties xmlns="http://schemas.openxmlformats.org/officeDocument/2006/custom-properties" xmlns:vt="http://schemas.openxmlformats.org/officeDocument/2006/docPropsVTypes"/>
</file>